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65C" w:rsidRPr="00D32C6A" w:rsidRDefault="00BA42DD" w:rsidP="008E1BCE">
      <w:pPr>
        <w:widowControl/>
        <w:snapToGrid w:val="0"/>
        <w:spacing w:line="360" w:lineRule="auto"/>
        <w:rPr>
          <w:rFonts w:ascii="宋体" w:hAnsi="宋体" w:cs="宋体"/>
          <w:b/>
          <w:color w:val="000000"/>
          <w:kern w:val="0"/>
          <w:sz w:val="36"/>
          <w:szCs w:val="36"/>
        </w:rPr>
      </w:pPr>
      <w:r w:rsidRPr="00D32C6A">
        <w:rPr>
          <w:rFonts w:ascii="宋体" w:hAnsi="宋体" w:cs="宋体" w:hint="eastAsia"/>
          <w:b/>
          <w:color w:val="000000"/>
          <w:kern w:val="0"/>
          <w:sz w:val="36"/>
          <w:szCs w:val="36"/>
        </w:rPr>
        <w:t>四川大学华西医院</w:t>
      </w:r>
      <w:r w:rsidR="0091765C" w:rsidRPr="00D32C6A">
        <w:rPr>
          <w:rFonts w:ascii="宋体" w:hAnsi="宋体" w:cs="宋体"/>
          <w:b/>
          <w:color w:val="000000"/>
          <w:kern w:val="0"/>
          <w:sz w:val="36"/>
          <w:szCs w:val="36"/>
        </w:rPr>
        <w:t>医疗器械不良事件监测管理办法</w:t>
      </w:r>
    </w:p>
    <w:p w:rsidR="0091765C" w:rsidRPr="0091765C" w:rsidRDefault="0091765C" w:rsidP="0091765C">
      <w:pPr>
        <w:widowControl/>
        <w:snapToGrid w:val="0"/>
        <w:spacing w:line="360" w:lineRule="auto"/>
        <w:jc w:val="center"/>
        <w:rPr>
          <w:rFonts w:ascii="宋体" w:hAnsi="宋体" w:cs="宋体" w:hint="eastAsia"/>
          <w:color w:val="000000"/>
          <w:kern w:val="0"/>
          <w:szCs w:val="21"/>
        </w:rPr>
      </w:pPr>
    </w:p>
    <w:p w:rsidR="0091765C" w:rsidRPr="0091765C" w:rsidRDefault="0091765C" w:rsidP="0091765C">
      <w:pPr>
        <w:widowControl/>
        <w:snapToGrid w:val="0"/>
        <w:spacing w:line="360" w:lineRule="auto"/>
        <w:jc w:val="center"/>
        <w:rPr>
          <w:rFonts w:ascii="宋体" w:hAnsi="宋体" w:cs="宋体"/>
          <w:color w:val="000000"/>
          <w:kern w:val="0"/>
          <w:szCs w:val="21"/>
        </w:rPr>
      </w:pPr>
      <w:r w:rsidRPr="0091765C">
        <w:rPr>
          <w:rFonts w:ascii="宋体" w:hAnsi="宋体" w:cs="宋体"/>
          <w:color w:val="000000"/>
          <w:kern w:val="0"/>
          <w:szCs w:val="21"/>
        </w:rPr>
        <w:t>第一章　总则</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第一条　为加强</w:t>
      </w:r>
      <w:r w:rsidR="007903E0">
        <w:rPr>
          <w:rFonts w:ascii="宋体" w:hAnsi="宋体" w:cs="宋体" w:hint="eastAsia"/>
          <w:color w:val="000000"/>
          <w:kern w:val="0"/>
          <w:szCs w:val="21"/>
        </w:rPr>
        <w:t>我院</w:t>
      </w:r>
      <w:r w:rsidRPr="0091765C">
        <w:rPr>
          <w:rFonts w:ascii="宋体" w:hAnsi="宋体" w:cs="宋体"/>
          <w:color w:val="000000"/>
          <w:kern w:val="0"/>
          <w:szCs w:val="21"/>
        </w:rPr>
        <w:t>医疗器械不良事件监测和再评价工作，根据《医疗器械监督管理条例》制定本办法。</w:t>
      </w:r>
    </w:p>
    <w:p w:rsidR="00BA42DD" w:rsidRDefault="0091765C" w:rsidP="00BA42DD">
      <w:pPr>
        <w:widowControl/>
        <w:snapToGrid w:val="0"/>
        <w:spacing w:line="360" w:lineRule="auto"/>
        <w:ind w:firstLine="405"/>
        <w:jc w:val="left"/>
        <w:rPr>
          <w:rFonts w:ascii="宋体" w:hAnsi="宋体" w:cs="宋体" w:hint="eastAsia"/>
          <w:color w:val="000000"/>
          <w:kern w:val="0"/>
          <w:szCs w:val="21"/>
        </w:rPr>
      </w:pPr>
      <w:r w:rsidRPr="0091765C">
        <w:rPr>
          <w:rFonts w:ascii="宋体" w:hAnsi="宋体" w:cs="宋体"/>
          <w:color w:val="000000"/>
          <w:kern w:val="0"/>
          <w:szCs w:val="21"/>
        </w:rPr>
        <w:t xml:space="preserve">第二条　</w:t>
      </w:r>
      <w:r w:rsidR="00BA42DD">
        <w:rPr>
          <w:rFonts w:ascii="宋体" w:hAnsi="宋体" w:cs="宋体" w:hint="eastAsia"/>
          <w:color w:val="000000"/>
          <w:kern w:val="0"/>
          <w:szCs w:val="21"/>
        </w:rPr>
        <w:t>四川大学华西医院（以下简称医院）</w:t>
      </w:r>
      <w:r w:rsidR="00CF3A51">
        <w:rPr>
          <w:rFonts w:ascii="宋体" w:hAnsi="宋体" w:cs="宋体" w:hint="eastAsia"/>
          <w:color w:val="000000"/>
          <w:kern w:val="0"/>
          <w:szCs w:val="21"/>
        </w:rPr>
        <w:t>根据卫生部有关管理规范和监测评价体系的要求，组织开展院内医疗器械不良事件上报工作。</w:t>
      </w:r>
    </w:p>
    <w:p w:rsidR="0091765C" w:rsidRDefault="0091765C" w:rsidP="00CF3A51">
      <w:pPr>
        <w:widowControl/>
        <w:snapToGrid w:val="0"/>
        <w:spacing w:line="360" w:lineRule="auto"/>
        <w:ind w:firstLine="405"/>
        <w:jc w:val="left"/>
        <w:rPr>
          <w:rFonts w:ascii="宋体" w:hAnsi="宋体" w:cs="宋体" w:hint="eastAsia"/>
          <w:color w:val="000000"/>
          <w:kern w:val="0"/>
          <w:szCs w:val="21"/>
        </w:rPr>
      </w:pPr>
      <w:r w:rsidRPr="0091765C">
        <w:rPr>
          <w:rFonts w:ascii="宋体" w:hAnsi="宋体" w:cs="宋体"/>
          <w:color w:val="000000"/>
          <w:kern w:val="0"/>
          <w:szCs w:val="21"/>
        </w:rPr>
        <w:t>第三条　鼓励</w:t>
      </w:r>
      <w:r w:rsidR="00CF3A51">
        <w:rPr>
          <w:rFonts w:ascii="宋体" w:hAnsi="宋体" w:cs="宋体" w:hint="eastAsia"/>
          <w:color w:val="000000"/>
          <w:kern w:val="0"/>
          <w:szCs w:val="21"/>
        </w:rPr>
        <w:t>临床科室</w:t>
      </w:r>
      <w:r w:rsidR="00CF3A51">
        <w:rPr>
          <w:rFonts w:ascii="宋体" w:hAnsi="宋体" w:cs="宋体"/>
          <w:color w:val="000000"/>
          <w:kern w:val="0"/>
          <w:szCs w:val="21"/>
        </w:rPr>
        <w:t>、</w:t>
      </w:r>
      <w:r w:rsidR="00CF3A51">
        <w:rPr>
          <w:rFonts w:ascii="宋体" w:hAnsi="宋体" w:cs="宋体" w:hint="eastAsia"/>
          <w:color w:val="000000"/>
          <w:kern w:val="0"/>
          <w:szCs w:val="21"/>
        </w:rPr>
        <w:t>或个人</w:t>
      </w:r>
      <w:r w:rsidRPr="0091765C">
        <w:rPr>
          <w:rFonts w:ascii="宋体" w:hAnsi="宋体" w:cs="宋体"/>
          <w:color w:val="000000"/>
          <w:kern w:val="0"/>
          <w:szCs w:val="21"/>
        </w:rPr>
        <w:t>报告医疗器械不良事件。</w:t>
      </w:r>
    </w:p>
    <w:p w:rsidR="003E7771" w:rsidRPr="0091765C" w:rsidRDefault="003E7771" w:rsidP="0091765C">
      <w:pPr>
        <w:widowControl/>
        <w:snapToGrid w:val="0"/>
        <w:spacing w:line="360" w:lineRule="auto"/>
        <w:ind w:firstLine="360"/>
        <w:jc w:val="left"/>
        <w:rPr>
          <w:rFonts w:ascii="宋体" w:hAnsi="宋体" w:cs="宋体" w:hint="eastAsia"/>
          <w:color w:val="000000"/>
          <w:kern w:val="0"/>
          <w:szCs w:val="21"/>
        </w:rPr>
      </w:pPr>
    </w:p>
    <w:p w:rsidR="0091765C" w:rsidRPr="0091765C" w:rsidRDefault="0091765C" w:rsidP="0091765C">
      <w:pPr>
        <w:widowControl/>
        <w:snapToGrid w:val="0"/>
        <w:spacing w:line="360" w:lineRule="auto"/>
        <w:jc w:val="center"/>
        <w:rPr>
          <w:rFonts w:ascii="宋体" w:hAnsi="宋体" w:cs="宋体"/>
          <w:color w:val="000000"/>
          <w:kern w:val="0"/>
          <w:szCs w:val="21"/>
        </w:rPr>
      </w:pPr>
      <w:r w:rsidRPr="0091765C">
        <w:rPr>
          <w:rFonts w:ascii="宋体" w:hAnsi="宋体" w:cs="宋体"/>
          <w:color w:val="000000"/>
          <w:kern w:val="0"/>
          <w:szCs w:val="21"/>
        </w:rPr>
        <w:t>第</w:t>
      </w:r>
      <w:r w:rsidR="00CF3A51">
        <w:rPr>
          <w:rFonts w:ascii="宋体" w:hAnsi="宋体" w:cs="宋体" w:hint="eastAsia"/>
          <w:color w:val="000000"/>
          <w:kern w:val="0"/>
          <w:szCs w:val="21"/>
        </w:rPr>
        <w:t>二</w:t>
      </w:r>
      <w:r w:rsidRPr="0091765C">
        <w:rPr>
          <w:rFonts w:ascii="宋体" w:hAnsi="宋体" w:cs="宋体"/>
          <w:color w:val="000000"/>
          <w:kern w:val="0"/>
          <w:szCs w:val="21"/>
        </w:rPr>
        <w:t>章　不良事件报告</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7903E0">
        <w:rPr>
          <w:rFonts w:ascii="宋体" w:hAnsi="宋体" w:cs="宋体" w:hint="eastAsia"/>
          <w:color w:val="000000"/>
          <w:kern w:val="0"/>
          <w:szCs w:val="21"/>
        </w:rPr>
        <w:t>四</w:t>
      </w:r>
      <w:r w:rsidRPr="0091765C">
        <w:rPr>
          <w:rFonts w:ascii="宋体" w:hAnsi="宋体" w:cs="宋体"/>
          <w:color w:val="000000"/>
          <w:kern w:val="0"/>
          <w:szCs w:val="21"/>
        </w:rPr>
        <w:t xml:space="preserve">条　</w:t>
      </w:r>
      <w:r w:rsidR="00CF3A51">
        <w:rPr>
          <w:rFonts w:ascii="宋体" w:hAnsi="宋体" w:cs="宋体" w:hint="eastAsia"/>
          <w:color w:val="000000"/>
          <w:kern w:val="0"/>
          <w:szCs w:val="21"/>
        </w:rPr>
        <w:t xml:space="preserve"> 医院</w:t>
      </w:r>
      <w:r w:rsidRPr="0091765C">
        <w:rPr>
          <w:rFonts w:ascii="宋体" w:hAnsi="宋体" w:cs="宋体"/>
          <w:color w:val="000000"/>
          <w:kern w:val="0"/>
          <w:szCs w:val="21"/>
        </w:rPr>
        <w:t>应当建立医疗器械不良事件监测管理制度，指定机构并配备专（兼）职人员承担本</w:t>
      </w:r>
      <w:r w:rsidR="007903E0">
        <w:rPr>
          <w:rFonts w:ascii="宋体" w:hAnsi="宋体" w:cs="宋体" w:hint="eastAsia"/>
          <w:color w:val="000000"/>
          <w:kern w:val="0"/>
          <w:szCs w:val="21"/>
        </w:rPr>
        <w:t>我院</w:t>
      </w:r>
      <w:r w:rsidRPr="0091765C">
        <w:rPr>
          <w:rFonts w:ascii="宋体" w:hAnsi="宋体" w:cs="宋体"/>
          <w:color w:val="000000"/>
          <w:kern w:val="0"/>
          <w:szCs w:val="21"/>
        </w:rPr>
        <w:t>医疗器械不良事件监测工作。</w:t>
      </w:r>
      <w:r w:rsidRPr="0091765C">
        <w:rPr>
          <w:rFonts w:ascii="宋体" w:hAnsi="宋体" w:cs="宋体"/>
          <w:color w:val="000000"/>
          <w:kern w:val="0"/>
          <w:szCs w:val="21"/>
        </w:rPr>
        <w:br/>
        <w:t xml:space="preserve">　　</w:t>
      </w:r>
      <w:r w:rsidR="00CF3A51">
        <w:rPr>
          <w:rFonts w:ascii="宋体" w:hAnsi="宋体" w:cs="宋体" w:hint="eastAsia"/>
          <w:color w:val="000000"/>
          <w:kern w:val="0"/>
          <w:szCs w:val="21"/>
        </w:rPr>
        <w:t>医院</w:t>
      </w:r>
      <w:r w:rsidRPr="0091765C">
        <w:rPr>
          <w:rFonts w:ascii="宋体" w:hAnsi="宋体" w:cs="宋体"/>
          <w:color w:val="000000"/>
          <w:kern w:val="0"/>
          <w:szCs w:val="21"/>
        </w:rPr>
        <w:t>应当建立并保存医疗器械不良事件监测记录。记录应当保存至医疗器械标明的使用期后2年，但是记录保存期限应当不少于5年。</w:t>
      </w:r>
      <w:r w:rsidRPr="0091765C">
        <w:rPr>
          <w:rFonts w:ascii="宋体" w:hAnsi="宋体" w:cs="宋体"/>
          <w:color w:val="000000"/>
          <w:kern w:val="0"/>
          <w:szCs w:val="21"/>
        </w:rPr>
        <w:br/>
        <w:t xml:space="preserve">　　医疗器械不良事件监测记录包括本办法附件内容，以及不良事件发现、报告、评价和控制过程中有关的文件记录。</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7903E0">
        <w:rPr>
          <w:rFonts w:ascii="宋体" w:hAnsi="宋体" w:cs="宋体" w:hint="eastAsia"/>
          <w:color w:val="000000"/>
          <w:kern w:val="0"/>
          <w:szCs w:val="21"/>
        </w:rPr>
        <w:t>五</w:t>
      </w:r>
      <w:r w:rsidRPr="0091765C">
        <w:rPr>
          <w:rFonts w:ascii="宋体" w:hAnsi="宋体" w:cs="宋体"/>
          <w:color w:val="000000"/>
          <w:kern w:val="0"/>
          <w:szCs w:val="21"/>
        </w:rPr>
        <w:t>条　医疗器械生产企业、经营企业应当报告涉及其生产、经营的产品所发生的导致或者可能导致严重伤害或死亡的医疗器械不良事件。</w:t>
      </w:r>
      <w:r w:rsidRPr="0091765C">
        <w:rPr>
          <w:rFonts w:ascii="宋体" w:hAnsi="宋体" w:cs="宋体"/>
          <w:color w:val="000000"/>
          <w:kern w:val="0"/>
          <w:szCs w:val="21"/>
        </w:rPr>
        <w:br/>
        <w:t xml:space="preserve">　　医疗器械使用单位应当报告涉及其使用的医疗器械所发生的导致或者可能导致严重伤害或死亡的医疗器械不良事件。</w:t>
      </w:r>
      <w:r w:rsidRPr="0091765C">
        <w:rPr>
          <w:rFonts w:ascii="宋体" w:hAnsi="宋体" w:cs="宋体"/>
          <w:color w:val="000000"/>
          <w:kern w:val="0"/>
          <w:szCs w:val="21"/>
        </w:rPr>
        <w:br/>
        <w:t xml:space="preserve">　　报告医疗器械不良事件应当遵循可疑即报的原则。</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7903E0">
        <w:rPr>
          <w:rFonts w:ascii="宋体" w:hAnsi="宋体" w:cs="宋体" w:hint="eastAsia"/>
          <w:color w:val="000000"/>
          <w:kern w:val="0"/>
          <w:szCs w:val="21"/>
        </w:rPr>
        <w:t>六</w:t>
      </w:r>
      <w:r w:rsidRPr="0091765C">
        <w:rPr>
          <w:rFonts w:ascii="宋体" w:hAnsi="宋体" w:cs="宋体"/>
          <w:color w:val="000000"/>
          <w:kern w:val="0"/>
          <w:szCs w:val="21"/>
        </w:rPr>
        <w:t xml:space="preserve">条　</w:t>
      </w:r>
      <w:r w:rsidR="00CF3A51">
        <w:rPr>
          <w:rFonts w:ascii="宋体" w:hAnsi="宋体" w:cs="宋体" w:hint="eastAsia"/>
          <w:color w:val="000000"/>
          <w:kern w:val="0"/>
          <w:szCs w:val="21"/>
        </w:rPr>
        <w:t>医院临床</w:t>
      </w:r>
      <w:r w:rsidRPr="0091765C">
        <w:rPr>
          <w:rFonts w:ascii="宋体" w:hAnsi="宋体" w:cs="宋体"/>
          <w:color w:val="000000"/>
          <w:kern w:val="0"/>
          <w:szCs w:val="21"/>
        </w:rPr>
        <w:t>使用</w:t>
      </w:r>
      <w:r w:rsidR="00CF3A51">
        <w:rPr>
          <w:rFonts w:ascii="宋体" w:hAnsi="宋体" w:cs="宋体" w:hint="eastAsia"/>
          <w:color w:val="000000"/>
          <w:kern w:val="0"/>
          <w:szCs w:val="21"/>
        </w:rPr>
        <w:t>科室</w:t>
      </w:r>
      <w:r w:rsidRPr="0091765C">
        <w:rPr>
          <w:rFonts w:ascii="宋体" w:hAnsi="宋体" w:cs="宋体"/>
          <w:color w:val="000000"/>
          <w:kern w:val="0"/>
          <w:szCs w:val="21"/>
        </w:rPr>
        <w:t>发现或者知悉应报告的医疗器械不良事件后，应当填写《可疑医疗器械不良事件报告表</w:t>
      </w:r>
      <w:r w:rsidRPr="0091765C">
        <w:rPr>
          <w:rFonts w:ascii="宋体" w:hAnsi="宋体" w:cs="宋体"/>
          <w:kern w:val="0"/>
          <w:szCs w:val="21"/>
        </w:rPr>
        <w:t>》（</w:t>
      </w:r>
      <w:hyperlink r:id="rId6" w:history="1">
        <w:r w:rsidRPr="0091765C">
          <w:rPr>
            <w:rFonts w:ascii="宋体" w:hAnsi="宋体" w:cs="宋体"/>
            <w:kern w:val="0"/>
            <w:szCs w:val="21"/>
          </w:rPr>
          <w:t>附件1</w:t>
        </w:r>
      </w:hyperlink>
      <w:r w:rsidRPr="0091765C">
        <w:rPr>
          <w:rFonts w:ascii="宋体" w:hAnsi="宋体" w:cs="宋体"/>
          <w:color w:val="000000"/>
          <w:kern w:val="0"/>
          <w:szCs w:val="21"/>
        </w:rPr>
        <w:t>）向</w:t>
      </w:r>
      <w:r w:rsidR="00CF3A51">
        <w:rPr>
          <w:rFonts w:ascii="宋体" w:hAnsi="宋体" w:cs="宋体" w:hint="eastAsia"/>
          <w:color w:val="000000"/>
          <w:kern w:val="0"/>
          <w:szCs w:val="21"/>
        </w:rPr>
        <w:t>医院</w:t>
      </w:r>
      <w:r w:rsidRPr="0091765C">
        <w:rPr>
          <w:rFonts w:ascii="宋体" w:hAnsi="宋体" w:cs="宋体"/>
          <w:color w:val="000000"/>
          <w:kern w:val="0"/>
          <w:szCs w:val="21"/>
        </w:rPr>
        <w:t>医疗器械不良事件监测</w:t>
      </w:r>
      <w:r w:rsidR="00CF3A51">
        <w:rPr>
          <w:rFonts w:ascii="宋体" w:hAnsi="宋体" w:cs="宋体" w:hint="eastAsia"/>
          <w:color w:val="000000"/>
          <w:kern w:val="0"/>
          <w:szCs w:val="21"/>
        </w:rPr>
        <w:t>中心</w:t>
      </w:r>
      <w:r w:rsidRPr="0091765C">
        <w:rPr>
          <w:rFonts w:ascii="宋体" w:hAnsi="宋体" w:cs="宋体"/>
          <w:color w:val="000000"/>
          <w:kern w:val="0"/>
          <w:szCs w:val="21"/>
        </w:rPr>
        <w:t>报告。其中，导致死亡的事件于发现或者知悉之日起</w:t>
      </w:r>
      <w:r w:rsidR="00CF3A51">
        <w:rPr>
          <w:rFonts w:ascii="宋体" w:hAnsi="宋体" w:cs="宋体" w:hint="eastAsia"/>
          <w:color w:val="000000"/>
          <w:kern w:val="0"/>
          <w:szCs w:val="21"/>
        </w:rPr>
        <w:t>2</w:t>
      </w:r>
      <w:r w:rsidRPr="0091765C">
        <w:rPr>
          <w:rFonts w:ascii="宋体" w:hAnsi="宋体" w:cs="宋体"/>
          <w:color w:val="000000"/>
          <w:kern w:val="0"/>
          <w:szCs w:val="21"/>
        </w:rPr>
        <w:t>个工作日内，导致严重伤害、可能导致严重伤害或死亡的事件于发现或者知悉之日起</w:t>
      </w:r>
      <w:r w:rsidR="00CF3A51">
        <w:rPr>
          <w:rFonts w:ascii="宋体" w:hAnsi="宋体" w:cs="宋体" w:hint="eastAsia"/>
          <w:color w:val="000000"/>
          <w:kern w:val="0"/>
          <w:szCs w:val="21"/>
        </w:rPr>
        <w:t>5</w:t>
      </w:r>
      <w:r w:rsidRPr="0091765C">
        <w:rPr>
          <w:rFonts w:ascii="宋体" w:hAnsi="宋体" w:cs="宋体"/>
          <w:color w:val="000000"/>
          <w:kern w:val="0"/>
          <w:szCs w:val="21"/>
        </w:rPr>
        <w:t>个工作日内报告。</w:t>
      </w:r>
      <w:r w:rsidRPr="0091765C">
        <w:rPr>
          <w:rFonts w:ascii="宋体" w:hAnsi="宋体" w:cs="宋体"/>
          <w:color w:val="000000"/>
          <w:kern w:val="0"/>
          <w:szCs w:val="21"/>
        </w:rPr>
        <w:br/>
      </w:r>
      <w:r w:rsidR="007903E0">
        <w:rPr>
          <w:rFonts w:ascii="宋体" w:hAnsi="宋体" w:cs="宋体" w:hint="eastAsia"/>
          <w:color w:val="000000"/>
          <w:kern w:val="0"/>
          <w:szCs w:val="21"/>
        </w:rPr>
        <w:t xml:space="preserve">    第七条 </w:t>
      </w:r>
      <w:r w:rsidRPr="0091765C">
        <w:rPr>
          <w:rFonts w:ascii="宋体" w:hAnsi="宋体" w:cs="宋体"/>
          <w:color w:val="000000"/>
          <w:kern w:val="0"/>
          <w:szCs w:val="21"/>
        </w:rPr>
        <w:t>医疗器械经营企业、使用单位和第一类医疗器械生产企业应当在每年1月底之前对上一年度的医疗器械不良事件监测工作进行总结，并保存备查。</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7903E0">
        <w:rPr>
          <w:rFonts w:ascii="宋体" w:hAnsi="宋体" w:cs="宋体" w:hint="eastAsia"/>
          <w:color w:val="000000"/>
          <w:kern w:val="0"/>
          <w:szCs w:val="21"/>
        </w:rPr>
        <w:t>八</w:t>
      </w:r>
      <w:r w:rsidRPr="0091765C">
        <w:rPr>
          <w:rFonts w:ascii="宋体" w:hAnsi="宋体" w:cs="宋体"/>
          <w:color w:val="000000"/>
          <w:kern w:val="0"/>
          <w:szCs w:val="21"/>
        </w:rPr>
        <w:t>条　省、自治区、直辖市医疗器械不良事件监测技术机构应当对医疗器械不良事件报告进行调查、核实、分析、评价，并按照以下规定报告：</w:t>
      </w:r>
      <w:r w:rsidRPr="0091765C">
        <w:rPr>
          <w:rFonts w:ascii="宋体" w:hAnsi="宋体" w:cs="宋体"/>
          <w:color w:val="000000"/>
          <w:kern w:val="0"/>
          <w:szCs w:val="21"/>
        </w:rPr>
        <w:br/>
        <w:t xml:space="preserve">　　（一）收到导致死亡事件的首次报告后，应当立即报告省、自治区、直辖市食品药品监督管理部门和国家药品不良反应监测中心，同时报省、自治区、直辖市卫生主管部门；</w:t>
      </w:r>
      <w:r w:rsidRPr="0091765C">
        <w:rPr>
          <w:rFonts w:ascii="宋体" w:hAnsi="宋体" w:cs="宋体"/>
          <w:color w:val="000000"/>
          <w:kern w:val="0"/>
          <w:szCs w:val="21"/>
        </w:rPr>
        <w:br/>
        <w:t xml:space="preserve">　　（二）收到导致死亡事件的首次报告后，于5个工作日内在《可疑医疗器械不良事件报</w:t>
      </w:r>
      <w:r w:rsidRPr="0091765C">
        <w:rPr>
          <w:rFonts w:ascii="宋体" w:hAnsi="宋体" w:cs="宋体"/>
          <w:color w:val="000000"/>
          <w:kern w:val="0"/>
          <w:szCs w:val="21"/>
        </w:rPr>
        <w:lastRenderedPageBreak/>
        <w:t>告表》上填写初步分析意见，报送省、自治区、直辖市食品药品监督管理部门和国家药品不良反应监测中心，同时抄送省、自治区、直辖市卫生主管部门；收到导致死亡事件的补充报告和相关补充信息后，于15个工作日内在《医疗器械不良事件补充报告表》上填写分析评价意见或者形成补充意见，报送省、自治区、直辖市食品药品监督管理部门和国家药品不良反应监测中心，同时抄送省、自治区、直辖市卫生主管部门；</w:t>
      </w:r>
      <w:r w:rsidRPr="0091765C">
        <w:rPr>
          <w:rFonts w:ascii="宋体" w:hAnsi="宋体" w:cs="宋体"/>
          <w:color w:val="000000"/>
          <w:kern w:val="0"/>
          <w:szCs w:val="21"/>
        </w:rPr>
        <w:br/>
        <w:t xml:space="preserve">　　（三）收到导致严重伤害事件、可能导致严重伤害或死亡事件的首次报告后，于15个工作日内在《医疗器械不良事件报告表》上填写初步分析意见，报国家药品不良反应监测中心；收到严重伤害事件、可能导致严重伤害或死亡事件的补充报告和相关补充信息后，于20个工作日内在《医疗器械不良事件补充报告表》上填写分析评价意见或者形成补充意见，报送国家药品不良反应监测中心；</w:t>
      </w:r>
      <w:r w:rsidRPr="0091765C">
        <w:rPr>
          <w:rFonts w:ascii="宋体" w:hAnsi="宋体" w:cs="宋体"/>
          <w:color w:val="000000"/>
          <w:kern w:val="0"/>
          <w:szCs w:val="21"/>
        </w:rPr>
        <w:br/>
        <w:t xml:space="preserve">　　（四）对收到的导致或者可能导致严重伤害或死亡事件报告，应当进行汇总并提出分析评价意见，每季度报送省、自治区、直辖市食品药品监督管理部门和国家药品不良反应监测中心，并抄送省、自治区、直辖市卫生主管部门；</w:t>
      </w:r>
    </w:p>
    <w:p w:rsidR="0091765C" w:rsidRPr="0091765C" w:rsidRDefault="0091765C" w:rsidP="0091765C">
      <w:pPr>
        <w:widowControl/>
        <w:snapToGrid w:val="0"/>
        <w:spacing w:line="360" w:lineRule="auto"/>
        <w:ind w:firstLineChars="150" w:firstLine="315"/>
        <w:jc w:val="left"/>
        <w:rPr>
          <w:rFonts w:ascii="宋体" w:hAnsi="宋体" w:cs="宋体"/>
          <w:color w:val="000000"/>
          <w:kern w:val="0"/>
          <w:szCs w:val="21"/>
        </w:rPr>
      </w:pPr>
      <w:r w:rsidRPr="0091765C">
        <w:rPr>
          <w:rFonts w:ascii="宋体" w:hAnsi="宋体" w:cs="宋体"/>
          <w:color w:val="000000"/>
          <w:kern w:val="0"/>
          <w:szCs w:val="21"/>
        </w:rPr>
        <w:t>第</w:t>
      </w:r>
      <w:r w:rsidR="00F752D8">
        <w:rPr>
          <w:rFonts w:ascii="宋体" w:hAnsi="宋体" w:cs="宋体" w:hint="eastAsia"/>
          <w:color w:val="000000"/>
          <w:kern w:val="0"/>
          <w:szCs w:val="21"/>
        </w:rPr>
        <w:t>九</w:t>
      </w:r>
      <w:r w:rsidRPr="0091765C">
        <w:rPr>
          <w:rFonts w:ascii="宋体" w:hAnsi="宋体" w:cs="宋体"/>
          <w:color w:val="000000"/>
          <w:kern w:val="0"/>
          <w:szCs w:val="21"/>
        </w:rPr>
        <w:t>条　国家药品不良反应监测中心在收到省、自治区、直辖市医疗器械不良事件监测技术机构的报告后，应当对报告进一步分析、评价，必要时进行调查、核实，并按照以下规定报告：</w:t>
      </w:r>
      <w:r w:rsidRPr="0091765C">
        <w:rPr>
          <w:rFonts w:ascii="宋体" w:hAnsi="宋体" w:cs="宋体"/>
          <w:color w:val="000000"/>
          <w:kern w:val="0"/>
          <w:szCs w:val="21"/>
        </w:rPr>
        <w:br/>
        <w:t xml:space="preserve">　　（一）收到导致死亡事件的首次报告后，应当立即报告国家食品药品监督管理局，并于5个工作日内提出初步分析意见，报国家食品药品监督管理局，同时抄送卫生部；收到导致死亡事件补充报告和相应的其他信息后，于15个工作日内提出分析评价意见，报国家食品药品监督管理局，同时抄送卫生部；</w:t>
      </w:r>
      <w:r w:rsidRPr="0091765C">
        <w:rPr>
          <w:rFonts w:ascii="宋体" w:hAnsi="宋体" w:cs="宋体"/>
          <w:color w:val="000000"/>
          <w:kern w:val="0"/>
          <w:szCs w:val="21"/>
        </w:rPr>
        <w:br/>
        <w:t xml:space="preserve">　　（二）对收到的导致或者可能导致严重伤害或死亡事件报告，应当进行汇总并提出分析评价意见，每季度报国家食品药品监督管理局，并抄送卫生部；</w:t>
      </w:r>
      <w:r w:rsidRPr="0091765C">
        <w:rPr>
          <w:rFonts w:ascii="宋体" w:hAnsi="宋体" w:cs="宋体"/>
          <w:color w:val="000000"/>
          <w:kern w:val="0"/>
          <w:szCs w:val="21"/>
        </w:rPr>
        <w:br/>
        <w:t xml:space="preserve">　　（三）收到年度汇总报告后，于每年3月底前进行汇总并提出分析评价意见，报国家食品药品监督管理局，并抄送卫生部。</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F752D8">
        <w:rPr>
          <w:rFonts w:ascii="宋体" w:hAnsi="宋体" w:cs="宋体" w:hint="eastAsia"/>
          <w:color w:val="000000"/>
          <w:kern w:val="0"/>
          <w:szCs w:val="21"/>
        </w:rPr>
        <w:t>十</w:t>
      </w:r>
      <w:r w:rsidRPr="0091765C">
        <w:rPr>
          <w:rFonts w:ascii="宋体" w:hAnsi="宋体" w:cs="宋体"/>
          <w:color w:val="000000"/>
          <w:kern w:val="0"/>
          <w:szCs w:val="21"/>
        </w:rPr>
        <w:t>条　医疗器械不良事件监测技术机构在调查、核实、分析、评价不良事件报告时，需要组织专家论证或者委托医疗器械检测机构进行检测的，应当及时报告有关工作进展情况。</w:t>
      </w:r>
      <w:r w:rsidRPr="0091765C">
        <w:rPr>
          <w:rFonts w:ascii="宋体" w:hAnsi="宋体" w:cs="宋体"/>
          <w:color w:val="000000"/>
          <w:kern w:val="0"/>
          <w:szCs w:val="21"/>
        </w:rPr>
        <w:br/>
        <w:t xml:space="preserve">　　医疗器械不良事件监测技术机构应当提出关联性评价意见，分析事件发生的可能原因。</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F752D8">
        <w:rPr>
          <w:rFonts w:ascii="宋体" w:hAnsi="宋体" w:cs="宋体" w:hint="eastAsia"/>
          <w:color w:val="000000"/>
          <w:kern w:val="0"/>
          <w:szCs w:val="21"/>
        </w:rPr>
        <w:t>十一</w:t>
      </w:r>
      <w:r w:rsidRPr="0091765C">
        <w:rPr>
          <w:rFonts w:ascii="宋体" w:hAnsi="宋体" w:cs="宋体"/>
          <w:color w:val="000000"/>
          <w:kern w:val="0"/>
          <w:szCs w:val="21"/>
        </w:rPr>
        <w:t>条　医疗器械生产企业、经营企业和使用单位发现突发、群发的医疗器械不良事件，应当立即向所在地省、自治区、直辖市食品药品监督管理部门、卫生主管部门和医疗器械不良事件监测技术机构报告，并在24小时内填写并报送《可疑医疗器械不良事件报告表》。</w:t>
      </w:r>
      <w:r w:rsidRPr="0091765C">
        <w:rPr>
          <w:rFonts w:ascii="宋体" w:hAnsi="宋体" w:cs="宋体"/>
          <w:color w:val="000000"/>
          <w:kern w:val="0"/>
          <w:szCs w:val="21"/>
        </w:rPr>
        <w:br/>
      </w:r>
      <w:r w:rsidRPr="0091765C">
        <w:rPr>
          <w:rFonts w:ascii="宋体" w:hAnsi="宋体" w:cs="宋体" w:hint="eastAsia"/>
          <w:color w:val="000000"/>
          <w:kern w:val="0"/>
          <w:szCs w:val="21"/>
        </w:rPr>
        <w:t xml:space="preserve">    </w:t>
      </w:r>
      <w:r w:rsidRPr="0091765C">
        <w:rPr>
          <w:rFonts w:ascii="宋体" w:hAnsi="宋体" w:cs="宋体"/>
          <w:color w:val="000000"/>
          <w:kern w:val="0"/>
          <w:szCs w:val="21"/>
        </w:rPr>
        <w:t>医疗器械生产企业、经营企业和使用单位认为必要时，可以越级报告，但是应当及时告</w:t>
      </w:r>
      <w:r w:rsidRPr="0091765C">
        <w:rPr>
          <w:rFonts w:ascii="宋体" w:hAnsi="宋体" w:cs="宋体"/>
          <w:color w:val="000000"/>
          <w:kern w:val="0"/>
          <w:szCs w:val="21"/>
        </w:rPr>
        <w:lastRenderedPageBreak/>
        <w:t>知被越过的所在地省、自治区、直辖市食品药品监督管理部门、卫生主管部门和医疗器械不良事件监测技术机构。</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F752D8">
        <w:rPr>
          <w:rFonts w:ascii="宋体" w:hAnsi="宋体" w:cs="宋体" w:hint="eastAsia"/>
          <w:color w:val="000000"/>
          <w:kern w:val="0"/>
          <w:szCs w:val="21"/>
        </w:rPr>
        <w:t>十二</w:t>
      </w:r>
      <w:r w:rsidRPr="0091765C">
        <w:rPr>
          <w:rFonts w:ascii="宋体" w:hAnsi="宋体" w:cs="宋体"/>
          <w:color w:val="000000"/>
          <w:kern w:val="0"/>
          <w:szCs w:val="21"/>
        </w:rPr>
        <w:t>条　省、自治区、直辖市食品药品监督管理部门获知发生突发、群发的医疗器械不良事件后，应当立即会同同级卫生主管部门组织调查、核实、处理，并向国家食品药品监督管理局、卫生部和国家药品不良反应监测中心报告。</w:t>
      </w:r>
      <w:r w:rsidRPr="0091765C">
        <w:rPr>
          <w:rFonts w:ascii="宋体" w:hAnsi="宋体" w:cs="宋体"/>
          <w:color w:val="000000"/>
          <w:kern w:val="0"/>
          <w:szCs w:val="21"/>
        </w:rPr>
        <w:br/>
        <w:t xml:space="preserve">　　国家食品药品监督管理局根据突发、群发事件的严重程度或者应急管理工作的有关规定，可以会同卫生部直接组织或者协调对突发、群发的医疗器械不良事件进行调查、核实、处理。</w:t>
      </w:r>
    </w:p>
    <w:p w:rsidR="0091765C" w:rsidRPr="0091765C" w:rsidRDefault="0091765C" w:rsidP="0091765C">
      <w:pPr>
        <w:snapToGrid w:val="0"/>
        <w:spacing w:line="360" w:lineRule="auto"/>
        <w:ind w:firstLine="360"/>
        <w:jc w:val="left"/>
        <w:rPr>
          <w:rFonts w:ascii="宋体" w:hAnsi="宋体" w:cs="宋体" w:hint="eastAsia"/>
          <w:color w:val="000000"/>
          <w:kern w:val="0"/>
          <w:szCs w:val="21"/>
        </w:rPr>
      </w:pPr>
      <w:r w:rsidRPr="0091765C">
        <w:rPr>
          <w:rFonts w:ascii="宋体" w:hAnsi="宋体" w:cs="宋体"/>
          <w:color w:val="000000"/>
          <w:kern w:val="0"/>
          <w:szCs w:val="21"/>
        </w:rPr>
        <w:t>第</w:t>
      </w:r>
      <w:r w:rsidR="00F752D8">
        <w:rPr>
          <w:rFonts w:ascii="宋体" w:hAnsi="宋体" w:cs="宋体" w:hint="eastAsia"/>
          <w:color w:val="000000"/>
          <w:kern w:val="0"/>
          <w:szCs w:val="21"/>
        </w:rPr>
        <w:t>十三</w:t>
      </w:r>
      <w:r w:rsidRPr="0091765C">
        <w:rPr>
          <w:rFonts w:ascii="宋体" w:hAnsi="宋体" w:cs="宋体"/>
          <w:color w:val="000000"/>
          <w:kern w:val="0"/>
          <w:szCs w:val="21"/>
        </w:rPr>
        <w:t>条　医疗器械不良事件监测技术机构应当对报告医疗器械不良事件的单位或者个人反馈相关信息。</w:t>
      </w:r>
    </w:p>
    <w:p w:rsidR="0091765C" w:rsidRPr="0091765C" w:rsidRDefault="0091765C" w:rsidP="006E4DF5">
      <w:pPr>
        <w:widowControl/>
        <w:snapToGrid w:val="0"/>
        <w:spacing w:line="360" w:lineRule="auto"/>
        <w:jc w:val="left"/>
        <w:rPr>
          <w:rFonts w:ascii="宋体" w:hAnsi="宋体" w:cs="宋体" w:hint="eastAsia"/>
          <w:color w:val="000000"/>
          <w:kern w:val="0"/>
          <w:szCs w:val="21"/>
        </w:rPr>
      </w:pPr>
    </w:p>
    <w:p w:rsidR="0091765C" w:rsidRPr="0091765C" w:rsidRDefault="0091765C" w:rsidP="0091765C">
      <w:pPr>
        <w:widowControl/>
        <w:snapToGrid w:val="0"/>
        <w:spacing w:line="360" w:lineRule="auto"/>
        <w:jc w:val="center"/>
        <w:rPr>
          <w:rFonts w:ascii="宋体" w:hAnsi="宋体" w:cs="宋体"/>
          <w:color w:val="000000"/>
          <w:kern w:val="0"/>
          <w:szCs w:val="21"/>
        </w:rPr>
      </w:pPr>
      <w:r w:rsidRPr="0091765C">
        <w:rPr>
          <w:rFonts w:ascii="宋体" w:hAnsi="宋体" w:cs="宋体"/>
          <w:color w:val="000000"/>
          <w:kern w:val="0"/>
          <w:szCs w:val="21"/>
        </w:rPr>
        <w:t>第</w:t>
      </w:r>
      <w:r w:rsidR="006E4DF5">
        <w:rPr>
          <w:rFonts w:ascii="宋体" w:hAnsi="宋体" w:cs="宋体" w:hint="eastAsia"/>
          <w:color w:val="000000"/>
          <w:kern w:val="0"/>
          <w:szCs w:val="21"/>
        </w:rPr>
        <w:t>三</w:t>
      </w:r>
      <w:r w:rsidRPr="0091765C">
        <w:rPr>
          <w:rFonts w:ascii="宋体" w:hAnsi="宋体" w:cs="宋体"/>
          <w:color w:val="000000"/>
          <w:kern w:val="0"/>
          <w:szCs w:val="21"/>
        </w:rPr>
        <w:t>章　控制</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十四</w:t>
      </w:r>
      <w:r w:rsidRPr="0091765C">
        <w:rPr>
          <w:rFonts w:ascii="宋体" w:hAnsi="宋体" w:cs="宋体"/>
          <w:color w:val="000000"/>
          <w:kern w:val="0"/>
          <w:szCs w:val="21"/>
        </w:rPr>
        <w:t>条　在按照本办法报告医疗器械不良事件后，医疗器械经营企业和使用单位应当配合医疗器械生产企业和主管部门对报告事件进行调查，提供相关资料并采取必要的控制措施。</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十五</w:t>
      </w:r>
      <w:r w:rsidRPr="0091765C">
        <w:rPr>
          <w:rFonts w:ascii="宋体" w:hAnsi="宋体" w:cs="宋体"/>
          <w:color w:val="000000"/>
          <w:kern w:val="0"/>
          <w:szCs w:val="21"/>
        </w:rPr>
        <w:t>条　根据医疗器械不良事件的危害程度，医疗器械生产企业必要时应当采取警示、检查、修理、重新标签、修改说明书、软件升级、替换、收回、销毁等控制措施。</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十六</w:t>
      </w:r>
      <w:r w:rsidRPr="0091765C">
        <w:rPr>
          <w:rFonts w:ascii="宋体" w:hAnsi="宋体" w:cs="宋体"/>
          <w:color w:val="000000"/>
          <w:kern w:val="0"/>
          <w:szCs w:val="21"/>
        </w:rPr>
        <w:t>条　国家食品药品监督管理局定期通报或专项通报医疗器械不良事件监测和再评价结果，公布对有关医疗器械采取的控制措施。</w:t>
      </w:r>
    </w:p>
    <w:p w:rsidR="0091765C" w:rsidRPr="0091765C" w:rsidRDefault="0091765C" w:rsidP="0091765C">
      <w:pPr>
        <w:widowControl/>
        <w:snapToGrid w:val="0"/>
        <w:spacing w:line="360" w:lineRule="auto"/>
        <w:jc w:val="center"/>
        <w:rPr>
          <w:rFonts w:ascii="宋体" w:hAnsi="宋体" w:cs="宋体"/>
          <w:color w:val="000000"/>
          <w:kern w:val="0"/>
          <w:szCs w:val="21"/>
        </w:rPr>
      </w:pPr>
      <w:r w:rsidRPr="0091765C">
        <w:rPr>
          <w:rFonts w:ascii="宋体" w:hAnsi="宋体" w:cs="宋体"/>
          <w:color w:val="000000"/>
          <w:kern w:val="0"/>
          <w:szCs w:val="21"/>
        </w:rPr>
        <w:br/>
        <w:t xml:space="preserve"> 第</w:t>
      </w:r>
      <w:r w:rsidR="006E4DF5">
        <w:rPr>
          <w:rFonts w:ascii="宋体" w:hAnsi="宋体" w:cs="宋体" w:hint="eastAsia"/>
          <w:color w:val="000000"/>
          <w:kern w:val="0"/>
          <w:szCs w:val="21"/>
        </w:rPr>
        <w:t>四</w:t>
      </w:r>
      <w:r w:rsidRPr="0091765C">
        <w:rPr>
          <w:rFonts w:ascii="宋体" w:hAnsi="宋体" w:cs="宋体"/>
          <w:color w:val="000000"/>
          <w:kern w:val="0"/>
          <w:szCs w:val="21"/>
        </w:rPr>
        <w:t>章　附　则</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十七</w:t>
      </w:r>
      <w:r w:rsidRPr="0091765C">
        <w:rPr>
          <w:rFonts w:ascii="宋体" w:hAnsi="宋体" w:cs="宋体"/>
          <w:color w:val="000000"/>
          <w:kern w:val="0"/>
          <w:szCs w:val="21"/>
        </w:rPr>
        <w:t>条　本办法下列用语的含义是：</w:t>
      </w:r>
      <w:r w:rsidRPr="0091765C">
        <w:rPr>
          <w:rFonts w:ascii="宋体" w:hAnsi="宋体" w:cs="宋体"/>
          <w:color w:val="000000"/>
          <w:kern w:val="0"/>
          <w:szCs w:val="21"/>
        </w:rPr>
        <w:br/>
        <w:t xml:space="preserve">　　医疗器械不良事件，是指获准上市的质量合格的医疗器械在正常使用情况下发生的，导致或者可能导致人体伤害的各种有害事件。</w:t>
      </w:r>
      <w:r w:rsidRPr="0091765C">
        <w:rPr>
          <w:rFonts w:ascii="宋体" w:hAnsi="宋体" w:cs="宋体"/>
          <w:color w:val="000000"/>
          <w:kern w:val="0"/>
          <w:szCs w:val="21"/>
        </w:rPr>
        <w:br/>
        <w:t xml:space="preserve">　　医疗器械不良事件监测，是指对医疗器械不良事件的发现、报告、评价和控制的过程。</w:t>
      </w:r>
      <w:r w:rsidRPr="0091765C">
        <w:rPr>
          <w:rFonts w:ascii="宋体" w:hAnsi="宋体" w:cs="宋体"/>
          <w:color w:val="000000"/>
          <w:kern w:val="0"/>
          <w:szCs w:val="21"/>
        </w:rPr>
        <w:br/>
        <w:t>医疗器械再评价，是指对获准上市的医疗器械的安全性、有效性进行重新评价，并实施相应措施的过程。</w:t>
      </w:r>
      <w:r w:rsidRPr="0091765C">
        <w:rPr>
          <w:rFonts w:ascii="宋体" w:hAnsi="宋体" w:cs="宋体"/>
          <w:color w:val="000000"/>
          <w:kern w:val="0"/>
          <w:szCs w:val="21"/>
        </w:rPr>
        <w:br/>
        <w:t xml:space="preserve">　　严重伤害，是指有下列情况之一者：</w:t>
      </w:r>
      <w:r w:rsidRPr="0091765C">
        <w:rPr>
          <w:rFonts w:ascii="宋体" w:hAnsi="宋体" w:cs="宋体"/>
          <w:color w:val="000000"/>
          <w:kern w:val="0"/>
          <w:szCs w:val="21"/>
        </w:rPr>
        <w:br/>
        <w:t xml:space="preserve">　　（一）危及生命；</w:t>
      </w:r>
      <w:r w:rsidRPr="0091765C">
        <w:rPr>
          <w:rFonts w:ascii="宋体" w:hAnsi="宋体" w:cs="宋体"/>
          <w:color w:val="000000"/>
          <w:kern w:val="0"/>
          <w:szCs w:val="21"/>
        </w:rPr>
        <w:br/>
        <w:t xml:space="preserve">　　（二）导致机体功能的永久性伤害或者机体结构的永久性损伤；</w:t>
      </w:r>
      <w:r w:rsidRPr="0091765C">
        <w:rPr>
          <w:rFonts w:ascii="宋体" w:hAnsi="宋体" w:cs="宋体"/>
          <w:color w:val="000000"/>
          <w:kern w:val="0"/>
          <w:szCs w:val="21"/>
        </w:rPr>
        <w:br/>
        <w:t xml:space="preserve">　　（三）必须采取医疗措施才能避免上述永久性伤害或者损伤。</w:t>
      </w:r>
      <w:r w:rsidRPr="0091765C">
        <w:rPr>
          <w:rFonts w:ascii="宋体" w:hAnsi="宋体" w:cs="宋体"/>
          <w:color w:val="000000"/>
          <w:kern w:val="0"/>
          <w:szCs w:val="21"/>
        </w:rPr>
        <w:br/>
        <w:t xml:space="preserve">　　医疗卫生机构，是指依照《医疗机构管理条例》的规定，取得《医疗机构执业许可证》的医疗机构和其他隶属于卫生主管部门的卫生机构。</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lastRenderedPageBreak/>
        <w:t xml:space="preserve">　　第</w:t>
      </w:r>
      <w:r w:rsidR="006E4DF5">
        <w:rPr>
          <w:rFonts w:ascii="宋体" w:hAnsi="宋体" w:cs="宋体" w:hint="eastAsia"/>
          <w:color w:val="000000"/>
          <w:kern w:val="0"/>
          <w:szCs w:val="21"/>
        </w:rPr>
        <w:t>十八</w:t>
      </w:r>
      <w:r w:rsidRPr="0091765C">
        <w:rPr>
          <w:rFonts w:ascii="宋体" w:hAnsi="宋体" w:cs="宋体"/>
          <w:color w:val="000000"/>
          <w:kern w:val="0"/>
          <w:szCs w:val="21"/>
        </w:rPr>
        <w:t>条　产品既在中国境内上市销售也在境外上市销售的医疗器械生产企业，应当将其相关产品在境外发生的导致或者可能导致严重伤害或死亡的医疗器械不良事件以及采取的控制措施自发现之日起15日内向国家药品不良反应监测中心和国家食品药品监督管理局报告。</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十九</w:t>
      </w:r>
      <w:r w:rsidRPr="0091765C">
        <w:rPr>
          <w:rFonts w:ascii="宋体" w:hAnsi="宋体" w:cs="宋体"/>
          <w:color w:val="000000"/>
          <w:kern w:val="0"/>
          <w:szCs w:val="21"/>
        </w:rPr>
        <w:t>条　进行临床试验的医疗器械发生的导致或者可能导致人体伤害的各种有害事件，应当按照《医疗器械临床试验规定》和国家食品药品监督管理局的相关要求报告。</w:t>
      </w:r>
    </w:p>
    <w:p w:rsidR="0091765C" w:rsidRPr="0091765C" w:rsidRDefault="0091765C" w:rsidP="0091765C">
      <w:pPr>
        <w:snapToGrid w:val="0"/>
        <w:spacing w:line="360" w:lineRule="auto"/>
        <w:jc w:val="left"/>
        <w:rPr>
          <w:rFonts w:ascii="宋体" w:hAnsi="宋体" w:cs="宋体" w:hint="eastAsia"/>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二十</w:t>
      </w:r>
      <w:r w:rsidRPr="0091765C">
        <w:rPr>
          <w:rFonts w:ascii="宋体" w:hAnsi="宋体" w:cs="宋体"/>
          <w:color w:val="000000"/>
          <w:kern w:val="0"/>
          <w:szCs w:val="21"/>
        </w:rPr>
        <w:t>条　本办法关于医疗器械生产企业的相应规定，适用于境外医疗器械生产企业在中国境内的代理人。包括境外医疗器械生产企业在中国境内的代表机构或在中国境内指定的企业法人单位。</w:t>
      </w:r>
      <w:r w:rsidRPr="0091765C">
        <w:rPr>
          <w:rFonts w:ascii="宋体" w:hAnsi="宋体" w:cs="宋体"/>
          <w:color w:val="000000"/>
          <w:kern w:val="0"/>
          <w:szCs w:val="21"/>
        </w:rPr>
        <w:br/>
        <w:t xml:space="preserve">　　台湾、香港、澳门地区医疗器械生产企业参照境外医疗器械生产企业执行。</w:t>
      </w:r>
      <w:r w:rsidRPr="0091765C">
        <w:rPr>
          <w:rFonts w:ascii="宋体" w:hAnsi="宋体" w:cs="宋体"/>
          <w:color w:val="000000"/>
          <w:kern w:val="0"/>
          <w:szCs w:val="21"/>
        </w:rPr>
        <w:br/>
      </w:r>
      <w:r w:rsidR="006173BC">
        <w:rPr>
          <w:rFonts w:ascii="宋体" w:hAnsi="宋体" w:cs="宋体" w:hint="eastAsia"/>
          <w:color w:val="000000"/>
          <w:kern w:val="0"/>
          <w:szCs w:val="21"/>
        </w:rPr>
        <w:t xml:space="preserve">    </w:t>
      </w:r>
      <w:r w:rsidRPr="0091765C">
        <w:rPr>
          <w:rFonts w:ascii="宋体" w:hAnsi="宋体" w:cs="宋体"/>
          <w:color w:val="000000"/>
          <w:kern w:val="0"/>
          <w:szCs w:val="21"/>
        </w:rPr>
        <w:t>第</w:t>
      </w:r>
      <w:r w:rsidR="006E4DF5">
        <w:rPr>
          <w:rFonts w:ascii="宋体" w:hAnsi="宋体" w:cs="宋体" w:hint="eastAsia"/>
          <w:color w:val="000000"/>
          <w:kern w:val="0"/>
          <w:szCs w:val="21"/>
        </w:rPr>
        <w:t>二十一</w:t>
      </w:r>
      <w:r w:rsidRPr="0091765C">
        <w:rPr>
          <w:rFonts w:ascii="宋体" w:hAnsi="宋体" w:cs="宋体"/>
          <w:color w:val="000000"/>
          <w:kern w:val="0"/>
          <w:szCs w:val="21"/>
        </w:rPr>
        <w:t>条　医疗器械不良事件报告的内容和统计资料是加强医疗器械监督管理，指导开展医疗器械再评价工作的依据，不作为医疗纠纷、医疗诉讼和处理医疗器械质量事故的依据。</w:t>
      </w:r>
      <w:r w:rsidRPr="0091765C">
        <w:rPr>
          <w:rFonts w:ascii="宋体" w:hAnsi="宋体" w:cs="宋体"/>
          <w:color w:val="000000"/>
          <w:kern w:val="0"/>
          <w:szCs w:val="21"/>
        </w:rPr>
        <w:br/>
        <w:t xml:space="preserve">　　对属于医疗事故或者医疗器械质量问题的，应当按照相关法规的要求另行处理。</w:t>
      </w:r>
    </w:p>
    <w:p w:rsidR="0091765C" w:rsidRPr="0091765C" w:rsidRDefault="0091765C" w:rsidP="006173BC">
      <w:pPr>
        <w:widowControl/>
        <w:snapToGrid w:val="0"/>
        <w:spacing w:line="360" w:lineRule="auto"/>
        <w:ind w:firstLineChars="200" w:firstLine="420"/>
        <w:jc w:val="left"/>
        <w:rPr>
          <w:rFonts w:ascii="宋体" w:hAnsi="宋体" w:cs="宋体" w:hint="eastAsia"/>
          <w:color w:val="000000"/>
          <w:kern w:val="0"/>
          <w:szCs w:val="21"/>
        </w:rPr>
      </w:pPr>
      <w:r w:rsidRPr="0091765C">
        <w:rPr>
          <w:rFonts w:ascii="宋体" w:hAnsi="宋体" w:cs="宋体"/>
          <w:color w:val="000000"/>
          <w:kern w:val="0"/>
          <w:szCs w:val="21"/>
        </w:rPr>
        <w:t>第</w:t>
      </w:r>
      <w:r w:rsidR="006E4DF5">
        <w:rPr>
          <w:rFonts w:ascii="宋体" w:hAnsi="宋体" w:cs="宋体" w:hint="eastAsia"/>
          <w:color w:val="000000"/>
          <w:kern w:val="0"/>
          <w:szCs w:val="21"/>
        </w:rPr>
        <w:t>二十二</w:t>
      </w:r>
      <w:r w:rsidRPr="0091765C">
        <w:rPr>
          <w:rFonts w:ascii="宋体" w:hAnsi="宋体" w:cs="宋体"/>
          <w:color w:val="000000"/>
          <w:kern w:val="0"/>
          <w:szCs w:val="21"/>
        </w:rPr>
        <w:t>条　食品药品监督管理部门及其有关工作</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人员在医疗器械不良事件监测管理工作中违反规定、延误不良事件报告、未采取有效措施控制严重医疗器械不良事件重复发生并造成严重后果的，依照有关规定给予行政处分。</w:t>
      </w:r>
    </w:p>
    <w:p w:rsidR="0091765C" w:rsidRPr="0091765C" w:rsidRDefault="0091765C" w:rsidP="0091765C">
      <w:pPr>
        <w:widowControl/>
        <w:snapToGrid w:val="0"/>
        <w:spacing w:line="360" w:lineRule="auto"/>
        <w:jc w:val="left"/>
        <w:rPr>
          <w:rFonts w:ascii="宋体" w:hAnsi="宋体" w:cs="宋体"/>
          <w:color w:val="000000"/>
          <w:kern w:val="0"/>
          <w:szCs w:val="21"/>
        </w:rPr>
      </w:pPr>
      <w:r w:rsidRPr="0091765C">
        <w:rPr>
          <w:rFonts w:ascii="宋体" w:hAnsi="宋体" w:cs="宋体"/>
          <w:color w:val="000000"/>
          <w:kern w:val="0"/>
          <w:szCs w:val="21"/>
        </w:rPr>
        <w:t xml:space="preserve">　　第</w:t>
      </w:r>
      <w:r w:rsidR="006E4DF5">
        <w:rPr>
          <w:rFonts w:ascii="宋体" w:hAnsi="宋体" w:cs="宋体" w:hint="eastAsia"/>
          <w:color w:val="000000"/>
          <w:kern w:val="0"/>
          <w:szCs w:val="21"/>
        </w:rPr>
        <w:t>二十三</w:t>
      </w:r>
      <w:r w:rsidRPr="0091765C">
        <w:rPr>
          <w:rFonts w:ascii="宋体" w:hAnsi="宋体" w:cs="宋体"/>
          <w:color w:val="000000"/>
          <w:kern w:val="0"/>
          <w:szCs w:val="21"/>
        </w:rPr>
        <w:t>条　医疗器械不良事件报告的相关表格和相应计算机软件由国家食品药品监督管理局统一编制。</w:t>
      </w:r>
    </w:p>
    <w:p w:rsidR="0091765C" w:rsidRPr="0091765C" w:rsidRDefault="0091765C" w:rsidP="0091765C">
      <w:pPr>
        <w:widowControl/>
        <w:snapToGrid w:val="0"/>
        <w:spacing w:line="360" w:lineRule="auto"/>
        <w:ind w:firstLine="420"/>
        <w:jc w:val="left"/>
        <w:rPr>
          <w:rFonts w:ascii="宋体" w:hAnsi="宋体" w:cs="宋体" w:hint="eastAsia"/>
          <w:color w:val="000000"/>
          <w:kern w:val="0"/>
          <w:szCs w:val="21"/>
        </w:rPr>
        <w:sectPr w:rsidR="0091765C" w:rsidRPr="0091765C" w:rsidSect="0091765C">
          <w:footerReference w:type="even" r:id="rId7"/>
          <w:footerReference w:type="default" r:id="rId8"/>
          <w:type w:val="continuous"/>
          <w:pgSz w:w="11906" w:h="16838"/>
          <w:pgMar w:top="1797" w:right="1797" w:bottom="1440" w:left="1797" w:header="851" w:footer="992" w:gutter="0"/>
          <w:cols w:space="425"/>
          <w:docGrid w:type="lines" w:linePitch="312"/>
        </w:sectPr>
      </w:pPr>
      <w:r w:rsidRPr="0091765C">
        <w:rPr>
          <w:rFonts w:ascii="宋体" w:hAnsi="宋体" w:cs="宋体"/>
          <w:color w:val="000000"/>
          <w:kern w:val="0"/>
          <w:szCs w:val="21"/>
        </w:rPr>
        <w:t>第</w:t>
      </w:r>
      <w:r w:rsidR="006E4DF5">
        <w:rPr>
          <w:rFonts w:ascii="宋体" w:hAnsi="宋体" w:cs="宋体" w:hint="eastAsia"/>
          <w:color w:val="000000"/>
          <w:kern w:val="0"/>
          <w:szCs w:val="21"/>
        </w:rPr>
        <w:t>二十四</w:t>
      </w:r>
      <w:r w:rsidRPr="0091765C">
        <w:rPr>
          <w:rFonts w:ascii="宋体" w:hAnsi="宋体" w:cs="宋体"/>
          <w:color w:val="000000"/>
          <w:kern w:val="0"/>
          <w:szCs w:val="21"/>
        </w:rPr>
        <w:t>条　本办法自发布之日起施行。</w:t>
      </w:r>
    </w:p>
    <w:p w:rsidR="0091765C" w:rsidRDefault="0091765C" w:rsidP="0091765C">
      <w:pPr>
        <w:ind w:leftChars="-600" w:left="-1260"/>
        <w:rPr>
          <w:rFonts w:ascii="宋体" w:hAnsi="宋体" w:hint="eastAsia"/>
          <w:b/>
          <w:bCs/>
          <w:spacing w:val="20"/>
          <w:sz w:val="32"/>
          <w:szCs w:val="32"/>
        </w:rPr>
      </w:pPr>
      <w:r>
        <w:rPr>
          <w:rFonts w:ascii="宋体" w:hAnsi="宋体" w:cs="宋体" w:hint="eastAsia"/>
          <w:b/>
          <w:noProof/>
          <w:color w:val="000000"/>
          <w:kern w:val="0"/>
          <w:sz w:val="24"/>
        </w:rPr>
        <w:lastRenderedPageBreak/>
        <w:pict>
          <v:shapetype id="_x0000_t202" coordsize="21600,21600" o:spt="202" path="m,l,21600r21600,l21600,xe">
            <v:stroke joinstyle="miter"/>
            <v:path gradientshapeok="t" o:connecttype="rect"/>
          </v:shapetype>
          <v:shape id="_x0000_s1027" type="#_x0000_t202" style="position:absolute;left:0;text-align:left;margin-left:0;margin-top:-23.4pt;width:81pt;height:23.4pt;z-index:251657728" filled="f" stroked="f">
            <v:textbox>
              <w:txbxContent>
                <w:p w:rsidR="0091765C" w:rsidRPr="00FE7656" w:rsidRDefault="0091765C" w:rsidP="0091765C">
                  <w:pPr>
                    <w:rPr>
                      <w:rFonts w:ascii="宋体" w:hAnsi="宋体" w:hint="eastAsia"/>
                      <w:szCs w:val="21"/>
                    </w:rPr>
                  </w:pPr>
                  <w:r w:rsidRPr="00FE7656">
                    <w:rPr>
                      <w:rFonts w:ascii="宋体" w:hAnsi="宋体" w:hint="eastAsia"/>
                      <w:szCs w:val="21"/>
                    </w:rPr>
                    <w:t>附件1：</w:t>
                  </w:r>
                </w:p>
                <w:p w:rsidR="0091765C" w:rsidRPr="00496298" w:rsidRDefault="0091765C" w:rsidP="0091765C">
                  <w:pPr>
                    <w:rPr>
                      <w:rFonts w:ascii="楷体_GB2312" w:eastAsia="楷体_GB2312" w:hint="eastAsia"/>
                      <w:b/>
                      <w:sz w:val="32"/>
                      <w:szCs w:val="32"/>
                    </w:rPr>
                  </w:pPr>
                </w:p>
              </w:txbxContent>
            </v:textbox>
          </v:shape>
        </w:pict>
      </w:r>
      <w:r>
        <w:rPr>
          <w:rFonts w:ascii="宋体" w:hAnsi="宋体" w:hint="eastAsia"/>
          <w:b/>
          <w:szCs w:val="21"/>
        </w:rPr>
        <w:t xml:space="preserve">                              </w:t>
      </w:r>
      <w:r>
        <w:rPr>
          <w:rFonts w:ascii="宋体" w:hAnsi="宋体" w:hint="eastAsia"/>
          <w:b/>
          <w:bCs/>
          <w:spacing w:val="20"/>
          <w:sz w:val="32"/>
          <w:szCs w:val="32"/>
        </w:rPr>
        <w:t>可疑</w:t>
      </w:r>
      <w:r w:rsidRPr="0030516B">
        <w:rPr>
          <w:rFonts w:ascii="宋体" w:hAnsi="宋体" w:hint="eastAsia"/>
          <w:b/>
          <w:bCs/>
          <w:spacing w:val="20"/>
          <w:sz w:val="32"/>
          <w:szCs w:val="32"/>
        </w:rPr>
        <w:t>医疗器械</w:t>
      </w:r>
      <w:r>
        <w:rPr>
          <w:rFonts w:ascii="宋体" w:hAnsi="宋体" w:hint="eastAsia"/>
          <w:b/>
          <w:bCs/>
          <w:spacing w:val="20"/>
          <w:sz w:val="32"/>
          <w:szCs w:val="32"/>
        </w:rPr>
        <w:t>不良事件</w:t>
      </w:r>
      <w:r w:rsidRPr="0030516B">
        <w:rPr>
          <w:rFonts w:ascii="宋体" w:hAnsi="宋体" w:hint="eastAsia"/>
          <w:b/>
          <w:bCs/>
          <w:spacing w:val="20"/>
          <w:sz w:val="32"/>
          <w:szCs w:val="32"/>
        </w:rPr>
        <w:t>报告</w:t>
      </w:r>
      <w:r>
        <w:rPr>
          <w:rFonts w:ascii="宋体" w:hAnsi="宋体" w:hint="eastAsia"/>
          <w:b/>
          <w:bCs/>
          <w:spacing w:val="20"/>
          <w:sz w:val="32"/>
          <w:szCs w:val="32"/>
        </w:rPr>
        <w:t>表</w:t>
      </w:r>
    </w:p>
    <w:p w:rsidR="0091765C" w:rsidRPr="008A0347" w:rsidRDefault="0091765C" w:rsidP="0091765C">
      <w:pPr>
        <w:ind w:leftChars="-514" w:left="-1079"/>
        <w:rPr>
          <w:rFonts w:ascii="宋体" w:hAnsi="宋体" w:hint="eastAsia"/>
          <w:b/>
          <w:bCs/>
          <w:spacing w:val="20"/>
          <w:szCs w:val="21"/>
        </w:rPr>
      </w:pPr>
      <w:r w:rsidRPr="008A0347">
        <w:rPr>
          <w:rFonts w:ascii="宋体" w:hAnsi="宋体" w:hint="eastAsia"/>
          <w:szCs w:val="21"/>
        </w:rPr>
        <w:t xml:space="preserve">报告日期：     年  月  日 </w:t>
      </w:r>
      <w:r>
        <w:rPr>
          <w:rFonts w:ascii="宋体" w:hAnsi="宋体" w:hint="eastAsia"/>
          <w:b/>
          <w:szCs w:val="21"/>
        </w:rPr>
        <w:t xml:space="preserve">                         </w:t>
      </w:r>
      <w:r w:rsidRPr="008A0347">
        <w:rPr>
          <w:rFonts w:ascii="宋体" w:hAnsi="宋体" w:hint="eastAsia"/>
          <w:b/>
          <w:szCs w:val="21"/>
        </w:rPr>
        <w:t xml:space="preserve"> </w:t>
      </w:r>
      <w:r w:rsidRPr="008A0347">
        <w:rPr>
          <w:rFonts w:ascii="宋体" w:hAnsi="宋体" w:hint="eastAsia"/>
          <w:spacing w:val="20"/>
          <w:szCs w:val="21"/>
        </w:rPr>
        <w:t>编  码：</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r w:rsidRPr="008A0347">
        <w:rPr>
          <w:rFonts w:ascii="宋体" w:hAnsi="宋体"/>
          <w:szCs w:val="21"/>
        </w:rPr>
        <w:t xml:space="preserve"> </w:t>
      </w:r>
      <w:r w:rsidRPr="008A0347">
        <w:rPr>
          <w:rFonts w:ascii="宋体" w:hAnsi="宋体" w:hint="eastAsia"/>
          <w:szCs w:val="21"/>
        </w:rPr>
        <w:sym w:font="Wingdings 2" w:char="F0A3"/>
      </w:r>
    </w:p>
    <w:p w:rsidR="0091765C" w:rsidRPr="008A0347" w:rsidRDefault="0091765C" w:rsidP="0091765C">
      <w:pPr>
        <w:ind w:leftChars="-514" w:left="-1079"/>
        <w:rPr>
          <w:rFonts w:ascii="宋体" w:hAnsi="宋体" w:hint="eastAsia"/>
          <w:szCs w:val="21"/>
        </w:rPr>
      </w:pPr>
      <w:r w:rsidRPr="008A0347">
        <w:rPr>
          <w:rFonts w:ascii="宋体" w:hAnsi="宋体" w:hint="eastAsia"/>
          <w:spacing w:val="20"/>
          <w:szCs w:val="21"/>
        </w:rPr>
        <w:t>报告来源：</w:t>
      </w:r>
      <w:r w:rsidRPr="008A0347">
        <w:rPr>
          <w:rFonts w:ascii="宋体" w:hAnsi="宋体" w:hint="eastAsia"/>
          <w:szCs w:val="21"/>
        </w:rPr>
        <w:sym w:font="Wingdings 2" w:char="F0A3"/>
      </w:r>
      <w:r w:rsidRPr="008A0347">
        <w:rPr>
          <w:rFonts w:ascii="宋体" w:hAnsi="宋体" w:hint="eastAsia"/>
          <w:szCs w:val="21"/>
        </w:rPr>
        <w:t xml:space="preserve"> </w:t>
      </w:r>
      <w:r w:rsidRPr="008A0347">
        <w:rPr>
          <w:rFonts w:ascii="宋体" w:hAnsi="宋体" w:hint="eastAsia"/>
          <w:spacing w:val="20"/>
          <w:szCs w:val="21"/>
        </w:rPr>
        <w:t xml:space="preserve">生产企业 </w:t>
      </w:r>
      <w:r w:rsidRPr="008A0347">
        <w:rPr>
          <w:rFonts w:ascii="宋体" w:hAnsi="宋体" w:hint="eastAsia"/>
          <w:szCs w:val="21"/>
        </w:rPr>
        <w:sym w:font="Wingdings 2" w:char="F0A3"/>
      </w:r>
      <w:r w:rsidRPr="008A0347">
        <w:rPr>
          <w:rFonts w:ascii="宋体" w:hAnsi="宋体" w:hint="eastAsia"/>
          <w:szCs w:val="21"/>
        </w:rPr>
        <w:t xml:space="preserve"> </w:t>
      </w:r>
      <w:r w:rsidRPr="008A0347">
        <w:rPr>
          <w:rFonts w:ascii="宋体" w:hAnsi="宋体" w:hint="eastAsia"/>
          <w:spacing w:val="20"/>
          <w:szCs w:val="21"/>
        </w:rPr>
        <w:t>经营企业</w:t>
      </w:r>
      <w:r w:rsidRPr="008A0347">
        <w:rPr>
          <w:rFonts w:ascii="宋体" w:hAnsi="宋体" w:hint="eastAsia"/>
          <w:szCs w:val="21"/>
        </w:rPr>
        <w:t xml:space="preserve"> </w:t>
      </w:r>
      <w:r w:rsidRPr="008A0347">
        <w:rPr>
          <w:rFonts w:ascii="宋体" w:hAnsi="宋体" w:hint="eastAsia"/>
          <w:szCs w:val="21"/>
        </w:rPr>
        <w:sym w:font="Wingdings 2" w:char="F0A3"/>
      </w:r>
      <w:r w:rsidRPr="008A0347">
        <w:rPr>
          <w:rFonts w:ascii="宋体" w:hAnsi="宋体" w:hint="eastAsia"/>
          <w:szCs w:val="21"/>
        </w:rPr>
        <w:t xml:space="preserve"> </w:t>
      </w:r>
      <w:r w:rsidRPr="008A0347">
        <w:rPr>
          <w:rFonts w:ascii="宋体" w:hAnsi="宋体" w:hint="eastAsia"/>
          <w:spacing w:val="20"/>
          <w:szCs w:val="21"/>
        </w:rPr>
        <w:t xml:space="preserve">使用单位 </w:t>
      </w:r>
      <w:r w:rsidRPr="008A0347">
        <w:rPr>
          <w:rFonts w:ascii="宋体" w:hAnsi="宋体" w:hint="eastAsia"/>
          <w:szCs w:val="21"/>
        </w:rPr>
        <w:t>单位名称：</w:t>
      </w:r>
      <w:r w:rsidRPr="008A0347">
        <w:rPr>
          <w:rFonts w:ascii="宋体" w:hAnsi="宋体" w:hint="eastAsia"/>
          <w:spacing w:val="20"/>
          <w:szCs w:val="21"/>
        </w:rPr>
        <w:t xml:space="preserve"> </w:t>
      </w:r>
      <w:r w:rsidRPr="008A0347">
        <w:rPr>
          <w:rFonts w:ascii="宋体" w:hAnsi="宋体" w:hint="eastAsia"/>
          <w:szCs w:val="21"/>
        </w:rPr>
        <w:t xml:space="preserve">             </w:t>
      </w:r>
    </w:p>
    <w:p w:rsidR="0091765C" w:rsidRPr="008A0347" w:rsidRDefault="0091765C" w:rsidP="0091765C">
      <w:pPr>
        <w:ind w:leftChars="-514" w:left="-1079"/>
        <w:rPr>
          <w:rFonts w:ascii="宋体" w:hAnsi="宋体" w:hint="eastAsia"/>
          <w:b/>
          <w:bCs/>
          <w:spacing w:val="20"/>
          <w:szCs w:val="21"/>
        </w:rPr>
      </w:pPr>
      <w:r w:rsidRPr="008A0347">
        <w:rPr>
          <w:rFonts w:ascii="宋体" w:hAnsi="宋体" w:hint="eastAsia"/>
          <w:szCs w:val="21"/>
        </w:rPr>
        <w:t xml:space="preserve">联系地址:                                            邮   编：             联系电话：        </w:t>
      </w:r>
    </w:p>
    <w:tbl>
      <w:tblPr>
        <w:tblpPr w:leftFromText="180" w:rightFromText="180" w:vertAnchor="text" w:horzAnchor="page" w:tblpX="844"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2"/>
        <w:gridCol w:w="1305"/>
        <w:gridCol w:w="2050"/>
      </w:tblGrid>
      <w:tr w:rsidR="0091765C" w:rsidRPr="008A0347" w:rsidTr="003A017A">
        <w:tblPrEx>
          <w:tblCellMar>
            <w:top w:w="0" w:type="dxa"/>
            <w:bottom w:w="0" w:type="dxa"/>
          </w:tblCellMar>
        </w:tblPrEx>
        <w:trPr>
          <w:trHeight w:val="458"/>
        </w:trPr>
        <w:tc>
          <w:tcPr>
            <w:tcW w:w="5037" w:type="dxa"/>
            <w:gridSpan w:val="3"/>
            <w:shd w:val="clear" w:color="auto" w:fill="C0C0C0"/>
            <w:vAlign w:val="center"/>
          </w:tcPr>
          <w:p w:rsidR="0091765C" w:rsidRPr="008A0347" w:rsidRDefault="0091765C" w:rsidP="003A017A">
            <w:pPr>
              <w:rPr>
                <w:rFonts w:ascii="宋体" w:hAnsi="宋体" w:hint="eastAsia"/>
                <w:b/>
                <w:bCs/>
                <w:szCs w:val="21"/>
              </w:rPr>
            </w:pPr>
            <w:r w:rsidRPr="008A0347">
              <w:rPr>
                <w:rFonts w:ascii="宋体" w:hAnsi="宋体" w:hint="eastAsia"/>
                <w:b/>
                <w:bCs/>
                <w:szCs w:val="21"/>
              </w:rPr>
              <w:t xml:space="preserve">A．患者资料                                               </w:t>
            </w:r>
          </w:p>
        </w:tc>
      </w:tr>
      <w:tr w:rsidR="0091765C" w:rsidRPr="008A0347" w:rsidTr="003A017A">
        <w:tblPrEx>
          <w:tblCellMar>
            <w:top w:w="0" w:type="dxa"/>
            <w:bottom w:w="0" w:type="dxa"/>
          </w:tblCellMar>
        </w:tblPrEx>
        <w:trPr>
          <w:trHeight w:val="380"/>
        </w:trPr>
        <w:tc>
          <w:tcPr>
            <w:tcW w:w="1682" w:type="dxa"/>
            <w:tcBorders>
              <w:bottom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1．姓名：</w:t>
            </w:r>
          </w:p>
        </w:tc>
        <w:tc>
          <w:tcPr>
            <w:tcW w:w="1305" w:type="dxa"/>
            <w:tcBorders>
              <w:bottom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2．年龄：</w:t>
            </w:r>
          </w:p>
        </w:tc>
        <w:tc>
          <w:tcPr>
            <w:tcW w:w="2050" w:type="dxa"/>
            <w:tcBorders>
              <w:bottom w:val="single" w:sz="4" w:space="0" w:color="auto"/>
            </w:tcBorders>
            <w:vAlign w:val="center"/>
          </w:tcPr>
          <w:p w:rsidR="0091765C" w:rsidRPr="008A0347" w:rsidRDefault="0091765C" w:rsidP="003A017A">
            <w:pPr>
              <w:widowControl/>
              <w:rPr>
                <w:rFonts w:ascii="宋体" w:hAnsi="宋体" w:hint="eastAsia"/>
                <w:szCs w:val="21"/>
              </w:rPr>
            </w:pPr>
            <w:r w:rsidRPr="008A0347">
              <w:rPr>
                <w:rFonts w:ascii="宋体" w:hAnsi="宋体" w:hint="eastAsia"/>
                <w:szCs w:val="21"/>
              </w:rPr>
              <w:t>3.性别</w:t>
            </w:r>
            <w:r w:rsidRPr="008A0347">
              <w:rPr>
                <w:rFonts w:ascii="宋体" w:hAnsi="宋体" w:hint="eastAsia"/>
                <w:szCs w:val="21"/>
              </w:rPr>
              <w:sym w:font="Wingdings 2" w:char="F0A3"/>
            </w:r>
            <w:r w:rsidRPr="008A0347">
              <w:rPr>
                <w:rFonts w:ascii="宋体" w:hAnsi="宋体" w:hint="eastAsia"/>
                <w:szCs w:val="21"/>
              </w:rPr>
              <w:t xml:space="preserve"> 男 </w:t>
            </w:r>
            <w:r w:rsidRPr="008A0347">
              <w:rPr>
                <w:rFonts w:ascii="宋体" w:hAnsi="宋体" w:hint="eastAsia"/>
                <w:szCs w:val="21"/>
              </w:rPr>
              <w:sym w:font="Wingdings 2" w:char="F0A3"/>
            </w:r>
            <w:r w:rsidRPr="008A0347">
              <w:rPr>
                <w:rFonts w:ascii="宋体" w:hAnsi="宋体" w:hint="eastAsia"/>
                <w:szCs w:val="21"/>
              </w:rPr>
              <w:t xml:space="preserve"> 女</w:t>
            </w:r>
          </w:p>
        </w:tc>
      </w:tr>
      <w:tr w:rsidR="0091765C" w:rsidRPr="008A0347" w:rsidTr="003A017A">
        <w:tblPrEx>
          <w:tblCellMar>
            <w:top w:w="0" w:type="dxa"/>
            <w:bottom w:w="0" w:type="dxa"/>
          </w:tblCellMar>
        </w:tblPrEx>
        <w:trPr>
          <w:trHeight w:val="538"/>
        </w:trPr>
        <w:tc>
          <w:tcPr>
            <w:tcW w:w="5037" w:type="dxa"/>
            <w:gridSpan w:val="3"/>
            <w:tcBorders>
              <w:bottom w:val="single" w:sz="4" w:space="0" w:color="auto"/>
            </w:tcBorders>
            <w:vAlign w:val="center"/>
          </w:tcPr>
          <w:p w:rsidR="0091765C" w:rsidRPr="008A0347" w:rsidRDefault="0091765C" w:rsidP="003A017A">
            <w:pPr>
              <w:jc w:val="left"/>
              <w:rPr>
                <w:rFonts w:ascii="宋体" w:hAnsi="宋体" w:hint="eastAsia"/>
                <w:szCs w:val="21"/>
              </w:rPr>
            </w:pPr>
            <w:r w:rsidRPr="008A0347">
              <w:rPr>
                <w:rFonts w:ascii="宋体" w:hAnsi="宋体" w:hint="eastAsia"/>
                <w:szCs w:val="21"/>
              </w:rPr>
              <w:t>4．预期治疗疾病或作用：</w:t>
            </w:r>
          </w:p>
        </w:tc>
      </w:tr>
      <w:tr w:rsidR="0091765C" w:rsidRPr="008A0347" w:rsidTr="003A017A">
        <w:tblPrEx>
          <w:tblCellMar>
            <w:top w:w="0" w:type="dxa"/>
            <w:bottom w:w="0" w:type="dxa"/>
          </w:tblCellMar>
        </w:tblPrEx>
        <w:trPr>
          <w:trHeight w:val="448"/>
        </w:trPr>
        <w:tc>
          <w:tcPr>
            <w:tcW w:w="5037" w:type="dxa"/>
            <w:gridSpan w:val="3"/>
            <w:shd w:val="clear" w:color="auto" w:fill="C0C0C0"/>
            <w:vAlign w:val="center"/>
          </w:tcPr>
          <w:p w:rsidR="0091765C" w:rsidRPr="008A0347" w:rsidRDefault="0091765C" w:rsidP="003A017A">
            <w:pPr>
              <w:rPr>
                <w:rFonts w:ascii="宋体" w:hAnsi="宋体" w:hint="eastAsia"/>
                <w:b/>
                <w:bCs/>
                <w:spacing w:val="20"/>
                <w:szCs w:val="21"/>
                <w:shd w:val="pct15" w:color="auto" w:fill="FFFFFF"/>
              </w:rPr>
            </w:pPr>
            <w:r w:rsidRPr="008A0347">
              <w:rPr>
                <w:rFonts w:ascii="宋体" w:hAnsi="宋体" w:hint="eastAsia"/>
                <w:b/>
                <w:bCs/>
                <w:spacing w:val="20"/>
                <w:szCs w:val="21"/>
              </w:rPr>
              <w:t xml:space="preserve">B．不良事件情况                      </w:t>
            </w:r>
          </w:p>
        </w:tc>
      </w:tr>
      <w:tr w:rsidR="0091765C" w:rsidRPr="008A0347" w:rsidTr="003A017A">
        <w:tblPrEx>
          <w:tblCellMar>
            <w:top w:w="0" w:type="dxa"/>
            <w:bottom w:w="0" w:type="dxa"/>
          </w:tblCellMar>
        </w:tblPrEx>
        <w:trPr>
          <w:trHeight w:val="538"/>
        </w:trPr>
        <w:tc>
          <w:tcPr>
            <w:tcW w:w="5037" w:type="dxa"/>
            <w:gridSpan w:val="3"/>
            <w:tcBorders>
              <w:bottom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5．事件主要表现：</w:t>
            </w:r>
          </w:p>
        </w:tc>
      </w:tr>
      <w:tr w:rsidR="0091765C" w:rsidRPr="008A0347" w:rsidTr="003A017A">
        <w:tblPrEx>
          <w:tblCellMar>
            <w:top w:w="0" w:type="dxa"/>
            <w:bottom w:w="0" w:type="dxa"/>
          </w:tblCellMar>
        </w:tblPrEx>
        <w:trPr>
          <w:trHeight w:val="538"/>
        </w:trPr>
        <w:tc>
          <w:tcPr>
            <w:tcW w:w="5037" w:type="dxa"/>
            <w:gridSpan w:val="3"/>
            <w:tcBorders>
              <w:bottom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 xml:space="preserve">6．事件发生日期：  </w:t>
            </w:r>
            <w:r w:rsidRPr="008A0347">
              <w:rPr>
                <w:rFonts w:ascii="宋体" w:hAnsi="宋体"/>
                <w:szCs w:val="21"/>
              </w:rPr>
              <w:t xml:space="preserve"> </w:t>
            </w:r>
            <w:r w:rsidRPr="008A0347">
              <w:rPr>
                <w:rFonts w:ascii="宋体" w:hAnsi="宋体" w:hint="eastAsia"/>
                <w:szCs w:val="21"/>
              </w:rPr>
              <w:t xml:space="preserve">         年</w:t>
            </w:r>
            <w:r w:rsidRPr="008A0347">
              <w:rPr>
                <w:rFonts w:ascii="宋体" w:hAnsi="宋体"/>
                <w:szCs w:val="21"/>
              </w:rPr>
              <w:t xml:space="preserve"> </w:t>
            </w:r>
            <w:r w:rsidRPr="008A0347">
              <w:rPr>
                <w:rFonts w:ascii="宋体" w:hAnsi="宋体" w:hint="eastAsia"/>
                <w:szCs w:val="21"/>
              </w:rPr>
              <w:t xml:space="preserve">  月  日</w:t>
            </w:r>
          </w:p>
          <w:p w:rsidR="0091765C" w:rsidRPr="008A0347" w:rsidRDefault="0091765C" w:rsidP="003A017A">
            <w:pPr>
              <w:rPr>
                <w:rFonts w:ascii="宋体" w:hAnsi="宋体" w:hint="eastAsia"/>
                <w:szCs w:val="21"/>
              </w:rPr>
            </w:pPr>
            <w:r w:rsidRPr="008A0347">
              <w:rPr>
                <w:rFonts w:ascii="宋体" w:hAnsi="宋体" w:hint="eastAsia"/>
                <w:szCs w:val="21"/>
              </w:rPr>
              <w:t>7．发现或者知悉时间：        年</w:t>
            </w:r>
            <w:r w:rsidRPr="008A0347">
              <w:rPr>
                <w:rFonts w:ascii="宋体" w:hAnsi="宋体"/>
                <w:szCs w:val="21"/>
              </w:rPr>
              <w:t xml:space="preserve"> </w:t>
            </w:r>
            <w:r w:rsidRPr="008A0347">
              <w:rPr>
                <w:rFonts w:ascii="宋体" w:hAnsi="宋体" w:hint="eastAsia"/>
                <w:szCs w:val="21"/>
              </w:rPr>
              <w:t xml:space="preserve">  月  日</w:t>
            </w:r>
          </w:p>
        </w:tc>
      </w:tr>
      <w:tr w:rsidR="0091765C" w:rsidRPr="008A0347" w:rsidTr="003A017A">
        <w:tblPrEx>
          <w:tblCellMar>
            <w:top w:w="0" w:type="dxa"/>
            <w:bottom w:w="0" w:type="dxa"/>
          </w:tblCellMar>
        </w:tblPrEx>
        <w:trPr>
          <w:trHeight w:val="538"/>
        </w:trPr>
        <w:tc>
          <w:tcPr>
            <w:tcW w:w="5037" w:type="dxa"/>
            <w:gridSpan w:val="3"/>
            <w:tcBorders>
              <w:bottom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8</w:t>
            </w:r>
            <w:r w:rsidRPr="008A0347">
              <w:rPr>
                <w:rFonts w:ascii="宋体" w:hAnsi="宋体"/>
                <w:szCs w:val="21"/>
              </w:rPr>
              <w:t>.</w:t>
            </w:r>
            <w:r w:rsidRPr="008A0347">
              <w:rPr>
                <w:rFonts w:ascii="宋体" w:hAnsi="宋体" w:hint="eastAsia"/>
                <w:szCs w:val="21"/>
              </w:rPr>
              <w:t xml:space="preserve"> 医疗器械实际使用场所：  </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医疗机构  </w:t>
            </w:r>
            <w:r w:rsidRPr="008A0347">
              <w:rPr>
                <w:rFonts w:ascii="宋体" w:hAnsi="宋体" w:hint="eastAsia"/>
                <w:szCs w:val="21"/>
              </w:rPr>
              <w:sym w:font="Wingdings 2" w:char="F0A3"/>
            </w:r>
            <w:r w:rsidRPr="008A0347">
              <w:rPr>
                <w:rFonts w:ascii="宋体" w:hAnsi="宋体" w:hint="eastAsia"/>
                <w:szCs w:val="21"/>
              </w:rPr>
              <w:t xml:space="preserve"> 家庭 </w:t>
            </w:r>
            <w:r w:rsidRPr="008A0347">
              <w:rPr>
                <w:rFonts w:ascii="宋体" w:hAnsi="宋体" w:hint="eastAsia"/>
                <w:szCs w:val="21"/>
              </w:rPr>
              <w:sym w:font="Wingdings 2" w:char="F0A3"/>
            </w:r>
            <w:r w:rsidRPr="008A0347">
              <w:rPr>
                <w:rFonts w:ascii="宋体" w:hAnsi="宋体" w:hint="eastAsia"/>
                <w:szCs w:val="21"/>
              </w:rPr>
              <w:t xml:space="preserve"> 其它（请注明）：</w:t>
            </w:r>
          </w:p>
        </w:tc>
      </w:tr>
      <w:tr w:rsidR="0091765C" w:rsidRPr="008A0347" w:rsidTr="003A017A">
        <w:tblPrEx>
          <w:tblCellMar>
            <w:top w:w="0" w:type="dxa"/>
            <w:bottom w:w="0" w:type="dxa"/>
          </w:tblCellMar>
        </w:tblPrEx>
        <w:trPr>
          <w:trHeight w:val="538"/>
        </w:trPr>
        <w:tc>
          <w:tcPr>
            <w:tcW w:w="5037" w:type="dxa"/>
            <w:gridSpan w:val="3"/>
            <w:tcBorders>
              <w:bottom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9.事件后果</w:t>
            </w:r>
          </w:p>
          <w:p w:rsidR="0091765C" w:rsidRPr="008A0347" w:rsidRDefault="0091765C" w:rsidP="003A017A">
            <w:pPr>
              <w:ind w:rightChars="-59" w:right="-124"/>
              <w:jc w:val="left"/>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死亡  </w:t>
            </w:r>
            <w:r w:rsidRPr="008A0347">
              <w:rPr>
                <w:rFonts w:ascii="宋体" w:hAnsi="宋体" w:hint="eastAsia"/>
                <w:szCs w:val="21"/>
                <w:u w:val="single"/>
              </w:rPr>
              <w:t xml:space="preserve">                           </w:t>
            </w:r>
            <w:r w:rsidRPr="008A0347">
              <w:rPr>
                <w:rFonts w:ascii="宋体" w:hAnsi="宋体" w:hint="eastAsia"/>
                <w:szCs w:val="21"/>
              </w:rPr>
              <w:t>（时间）；</w:t>
            </w:r>
          </w:p>
          <w:p w:rsidR="0091765C" w:rsidRPr="008A0347" w:rsidRDefault="0091765C" w:rsidP="003A017A">
            <w:pPr>
              <w:ind w:rightChars="-59" w:right="-124"/>
              <w:jc w:val="left"/>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危及生命；</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机体功能结构永久性损伤；</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可能导致机体功能机构永久性损伤；</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需要内、外科治疗避免上述永久损伤；</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其它（在事件陈述中说明）。</w:t>
            </w:r>
          </w:p>
        </w:tc>
      </w:tr>
      <w:tr w:rsidR="0091765C" w:rsidRPr="008A0347" w:rsidTr="003A017A">
        <w:tblPrEx>
          <w:tblCellMar>
            <w:top w:w="0" w:type="dxa"/>
            <w:bottom w:w="0" w:type="dxa"/>
          </w:tblCellMar>
        </w:tblPrEx>
        <w:trPr>
          <w:trHeight w:val="4721"/>
        </w:trPr>
        <w:tc>
          <w:tcPr>
            <w:tcW w:w="5037" w:type="dxa"/>
            <w:gridSpan w:val="3"/>
            <w:tcBorders>
              <w:bottom w:val="single" w:sz="4" w:space="0" w:color="auto"/>
            </w:tcBorders>
          </w:tcPr>
          <w:p w:rsidR="0091765C" w:rsidRPr="008A0347" w:rsidRDefault="0091765C" w:rsidP="003A017A">
            <w:pPr>
              <w:rPr>
                <w:rFonts w:ascii="宋体" w:hAnsi="宋体"/>
                <w:szCs w:val="21"/>
              </w:rPr>
            </w:pPr>
            <w:r w:rsidRPr="008A0347">
              <w:rPr>
                <w:rFonts w:ascii="宋体" w:hAnsi="宋体" w:hint="eastAsia"/>
                <w:szCs w:val="21"/>
              </w:rPr>
              <w:t>10.事件陈述：（至少包括器械使用时间、使用目的、使用依据、使用情况、出现的不良事件情况、对受害者影响、采取的治疗措施、器械联合使用情况）</w:t>
            </w:r>
          </w:p>
        </w:tc>
      </w:tr>
      <w:tr w:rsidR="0091765C" w:rsidRPr="008A0347" w:rsidTr="003A017A">
        <w:tblPrEx>
          <w:tblCellMar>
            <w:top w:w="0" w:type="dxa"/>
            <w:bottom w:w="0" w:type="dxa"/>
          </w:tblCellMar>
        </w:tblPrEx>
        <w:trPr>
          <w:trHeight w:val="90"/>
        </w:trPr>
        <w:tc>
          <w:tcPr>
            <w:tcW w:w="5037" w:type="dxa"/>
            <w:gridSpan w:val="3"/>
            <w:tcBorders>
              <w:top w:val="single" w:sz="4" w:space="0" w:color="auto"/>
              <w:left w:val="nil"/>
              <w:bottom w:val="nil"/>
              <w:right w:val="nil"/>
            </w:tcBorders>
          </w:tcPr>
          <w:p w:rsidR="0091765C" w:rsidRPr="008A0347" w:rsidRDefault="0091765C" w:rsidP="003A017A">
            <w:pPr>
              <w:rPr>
                <w:rFonts w:ascii="宋体" w:hAnsi="宋体" w:hint="eastAsia"/>
                <w:szCs w:val="21"/>
              </w:rPr>
            </w:pPr>
            <w:r w:rsidRPr="008A0347">
              <w:rPr>
                <w:rFonts w:ascii="宋体" w:hAnsi="宋体" w:hint="eastAsia"/>
                <w:szCs w:val="21"/>
              </w:rPr>
              <w:t>报告人：   医师</w:t>
            </w:r>
            <w:r w:rsidRPr="008A0347">
              <w:rPr>
                <w:rFonts w:ascii="宋体" w:hAnsi="宋体" w:hint="eastAsia"/>
                <w:szCs w:val="21"/>
              </w:rPr>
              <w:sym w:font="Wingdings 2" w:char="F0A3"/>
            </w:r>
            <w:r w:rsidRPr="008A0347">
              <w:rPr>
                <w:rFonts w:ascii="宋体" w:hAnsi="宋体" w:hint="eastAsia"/>
                <w:szCs w:val="21"/>
              </w:rPr>
              <w:t xml:space="preserve">    技师</w:t>
            </w:r>
            <w:r w:rsidRPr="008A0347">
              <w:rPr>
                <w:rFonts w:ascii="宋体" w:hAnsi="宋体" w:hint="eastAsia"/>
                <w:szCs w:val="21"/>
              </w:rPr>
              <w:sym w:font="Wingdings 2" w:char="F0A3"/>
            </w:r>
            <w:r w:rsidRPr="008A0347">
              <w:rPr>
                <w:rFonts w:ascii="宋体" w:hAnsi="宋体" w:hint="eastAsia"/>
                <w:szCs w:val="21"/>
              </w:rPr>
              <w:t xml:space="preserve">   护士</w:t>
            </w:r>
            <w:r w:rsidRPr="008A0347">
              <w:rPr>
                <w:rFonts w:ascii="宋体" w:hAnsi="宋体" w:hint="eastAsia"/>
                <w:szCs w:val="21"/>
              </w:rPr>
              <w:sym w:font="Wingdings 2" w:char="F0A3"/>
            </w:r>
            <w:r w:rsidRPr="008A0347">
              <w:rPr>
                <w:rFonts w:ascii="宋体" w:hAnsi="宋体" w:hint="eastAsia"/>
                <w:szCs w:val="21"/>
              </w:rPr>
              <w:t xml:space="preserve">    其他</w:t>
            </w:r>
            <w:r w:rsidRPr="008A0347">
              <w:rPr>
                <w:rFonts w:ascii="宋体" w:hAnsi="宋体" w:hint="eastAsia"/>
                <w:szCs w:val="21"/>
              </w:rPr>
              <w:sym w:font="Wingdings 2" w:char="F0A3"/>
            </w:r>
            <w:r w:rsidRPr="008A0347">
              <w:rPr>
                <w:rFonts w:ascii="宋体" w:hAnsi="宋体" w:hint="eastAsia"/>
                <w:szCs w:val="21"/>
              </w:rPr>
              <w:t xml:space="preserve">　　                 　                   </w:t>
            </w:r>
          </w:p>
        </w:tc>
      </w:tr>
    </w:tbl>
    <w:tbl>
      <w:tblPr>
        <w:tblpPr w:leftFromText="180" w:rightFromText="180" w:vertAnchor="text" w:horzAnchor="page" w:tblpX="6226" w:tblpY="149"/>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000"/>
      </w:tblPr>
      <w:tblGrid>
        <w:gridCol w:w="4882"/>
      </w:tblGrid>
      <w:tr w:rsidR="0091765C" w:rsidRPr="008A0347" w:rsidTr="003A017A">
        <w:tblPrEx>
          <w:tblCellMar>
            <w:top w:w="0" w:type="dxa"/>
            <w:bottom w:w="0" w:type="dxa"/>
          </w:tblCellMar>
        </w:tblPrEx>
        <w:trPr>
          <w:trHeight w:val="459"/>
        </w:trPr>
        <w:tc>
          <w:tcPr>
            <w:tcW w:w="4882" w:type="dxa"/>
            <w:tcBorders>
              <w:top w:val="single" w:sz="4" w:space="0" w:color="auto"/>
              <w:left w:val="single" w:sz="4" w:space="0" w:color="auto"/>
              <w:bottom w:val="single" w:sz="4" w:space="0" w:color="auto"/>
              <w:right w:val="single" w:sz="4" w:space="0" w:color="auto"/>
            </w:tcBorders>
            <w:shd w:val="clear" w:color="auto" w:fill="C0C0C0"/>
            <w:vAlign w:val="center"/>
          </w:tcPr>
          <w:p w:rsidR="0091765C" w:rsidRPr="008A0347" w:rsidRDefault="0091765C" w:rsidP="003A017A">
            <w:pPr>
              <w:rPr>
                <w:rFonts w:ascii="宋体" w:hAnsi="宋体" w:hint="eastAsia"/>
                <w:b/>
                <w:bCs/>
                <w:szCs w:val="21"/>
              </w:rPr>
            </w:pPr>
            <w:r w:rsidRPr="008A0347">
              <w:rPr>
                <w:rFonts w:ascii="宋体" w:hAnsi="宋体" w:hint="eastAsia"/>
                <w:b/>
                <w:bCs/>
                <w:szCs w:val="21"/>
              </w:rPr>
              <w:t>C．医疗器械情况</w:t>
            </w:r>
          </w:p>
        </w:tc>
      </w:tr>
      <w:tr w:rsidR="0091765C" w:rsidRPr="008A0347" w:rsidTr="003A017A">
        <w:tblPrEx>
          <w:tblCellMar>
            <w:top w:w="0" w:type="dxa"/>
            <w:bottom w:w="0" w:type="dxa"/>
          </w:tblCellMar>
        </w:tblPrEx>
        <w:trPr>
          <w:trHeight w:val="381"/>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tabs>
                <w:tab w:val="left" w:pos="1512"/>
              </w:tabs>
              <w:rPr>
                <w:rFonts w:ascii="宋体" w:hAnsi="宋体" w:hint="eastAsia"/>
                <w:szCs w:val="21"/>
              </w:rPr>
            </w:pPr>
            <w:r w:rsidRPr="008A0347">
              <w:rPr>
                <w:rFonts w:ascii="宋体" w:hAnsi="宋体" w:hint="eastAsia"/>
                <w:szCs w:val="21"/>
              </w:rPr>
              <w:t>11．产品名称：</w:t>
            </w:r>
          </w:p>
        </w:tc>
      </w:tr>
      <w:tr w:rsidR="0091765C" w:rsidRPr="008A0347" w:rsidTr="003A017A">
        <w:tblPrEx>
          <w:tblCellMar>
            <w:top w:w="0" w:type="dxa"/>
            <w:bottom w:w="0" w:type="dxa"/>
          </w:tblCellMar>
        </w:tblPrEx>
        <w:trPr>
          <w:trHeight w:val="459"/>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tabs>
                <w:tab w:val="left" w:pos="1512"/>
              </w:tabs>
              <w:rPr>
                <w:rFonts w:ascii="宋体" w:hAnsi="宋体" w:hint="eastAsia"/>
                <w:szCs w:val="21"/>
              </w:rPr>
            </w:pPr>
            <w:r w:rsidRPr="008A0347">
              <w:rPr>
                <w:rFonts w:ascii="宋体" w:hAnsi="宋体" w:hint="eastAsia"/>
                <w:szCs w:val="21"/>
              </w:rPr>
              <w:t>12．商品名称：</w:t>
            </w:r>
          </w:p>
        </w:tc>
      </w:tr>
      <w:tr w:rsidR="0091765C" w:rsidRPr="008A0347" w:rsidTr="003A017A">
        <w:tblPrEx>
          <w:tblCellMar>
            <w:top w:w="0" w:type="dxa"/>
            <w:bottom w:w="0" w:type="dxa"/>
          </w:tblCellMar>
        </w:tblPrEx>
        <w:trPr>
          <w:trHeight w:val="449"/>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tabs>
                <w:tab w:val="left" w:pos="1512"/>
              </w:tabs>
              <w:rPr>
                <w:rFonts w:ascii="宋体" w:hAnsi="宋体" w:hint="eastAsia"/>
                <w:szCs w:val="21"/>
              </w:rPr>
            </w:pPr>
            <w:r w:rsidRPr="008A0347">
              <w:rPr>
                <w:rFonts w:ascii="宋体" w:hAnsi="宋体" w:hint="eastAsia"/>
                <w:szCs w:val="21"/>
              </w:rPr>
              <w:t>13．注册证号：</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szCs w:val="21"/>
              </w:rPr>
            </w:pPr>
            <w:r w:rsidRPr="008A0347">
              <w:rPr>
                <w:rFonts w:ascii="宋体" w:hAnsi="宋体" w:hint="eastAsia"/>
                <w:szCs w:val="21"/>
              </w:rPr>
              <w:t>14．生产企业名称：</w:t>
            </w:r>
          </w:p>
          <w:p w:rsidR="0091765C" w:rsidRPr="008A0347" w:rsidRDefault="0091765C" w:rsidP="003A017A">
            <w:pPr>
              <w:ind w:firstLineChars="192" w:firstLine="403"/>
              <w:rPr>
                <w:rFonts w:ascii="宋体" w:hAnsi="宋体"/>
                <w:szCs w:val="21"/>
              </w:rPr>
            </w:pPr>
            <w:r w:rsidRPr="008A0347">
              <w:rPr>
                <w:rFonts w:ascii="宋体" w:hAnsi="宋体" w:hint="eastAsia"/>
                <w:szCs w:val="21"/>
              </w:rPr>
              <w:t>生产企业地址：</w:t>
            </w:r>
          </w:p>
          <w:p w:rsidR="0091765C" w:rsidRPr="008A0347" w:rsidRDefault="0091765C" w:rsidP="003A017A">
            <w:pPr>
              <w:ind w:firstLineChars="192" w:firstLine="403"/>
              <w:rPr>
                <w:rFonts w:ascii="宋体" w:hAnsi="宋体" w:hint="eastAsia"/>
                <w:szCs w:val="21"/>
              </w:rPr>
            </w:pPr>
            <w:r w:rsidRPr="008A0347">
              <w:rPr>
                <w:rFonts w:ascii="宋体" w:hAnsi="宋体" w:hint="eastAsia"/>
                <w:szCs w:val="21"/>
              </w:rPr>
              <w:t>企业联系电话：</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15．型号规格：</w:t>
            </w:r>
          </w:p>
          <w:p w:rsidR="0091765C" w:rsidRPr="008A0347" w:rsidRDefault="0091765C" w:rsidP="003A017A">
            <w:pPr>
              <w:ind w:firstLine="356"/>
              <w:rPr>
                <w:rFonts w:ascii="宋体" w:hAnsi="宋体" w:hint="eastAsia"/>
                <w:szCs w:val="21"/>
              </w:rPr>
            </w:pPr>
            <w:r w:rsidRPr="008A0347">
              <w:rPr>
                <w:rFonts w:ascii="宋体" w:hAnsi="宋体" w:hint="eastAsia"/>
                <w:szCs w:val="21"/>
              </w:rPr>
              <w:t>产品编号：</w:t>
            </w:r>
          </w:p>
          <w:p w:rsidR="0091765C" w:rsidRPr="008A0347" w:rsidRDefault="0091765C" w:rsidP="003A017A">
            <w:pPr>
              <w:ind w:firstLine="356"/>
              <w:rPr>
                <w:rFonts w:ascii="宋体" w:hAnsi="宋体" w:hint="eastAsia"/>
                <w:szCs w:val="21"/>
              </w:rPr>
            </w:pPr>
            <w:r w:rsidRPr="008A0347">
              <w:rPr>
                <w:rFonts w:ascii="宋体" w:hAnsi="宋体" w:hint="eastAsia"/>
                <w:szCs w:val="21"/>
              </w:rPr>
              <w:t>产品批号：</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 xml:space="preserve">16. </w:t>
            </w:r>
            <w:r w:rsidRPr="008A0347">
              <w:rPr>
                <w:rFonts w:ascii="宋体" w:hAnsi="宋体" w:hint="eastAsia"/>
                <w:spacing w:val="20"/>
                <w:szCs w:val="21"/>
              </w:rPr>
              <w:t>操作人：</w:t>
            </w:r>
            <w:r w:rsidRPr="008A0347">
              <w:rPr>
                <w:rFonts w:ascii="宋体" w:hAnsi="宋体" w:hint="eastAsia"/>
                <w:szCs w:val="21"/>
              </w:rPr>
              <w:sym w:font="Wingdings 2" w:char="F0A3"/>
            </w:r>
            <w:r w:rsidRPr="008A0347">
              <w:rPr>
                <w:rFonts w:ascii="宋体" w:hAnsi="宋体" w:hint="eastAsia"/>
                <w:szCs w:val="21"/>
              </w:rPr>
              <w:t xml:space="preserve">专业人员 </w:t>
            </w:r>
            <w:r w:rsidRPr="008A0347">
              <w:rPr>
                <w:rFonts w:ascii="宋体" w:hAnsi="宋体" w:hint="eastAsia"/>
                <w:szCs w:val="21"/>
              </w:rPr>
              <w:sym w:font="Wingdings 2" w:char="F0A3"/>
            </w:r>
            <w:r w:rsidRPr="008A0347">
              <w:rPr>
                <w:rFonts w:ascii="宋体" w:hAnsi="宋体" w:hint="eastAsia"/>
                <w:szCs w:val="21"/>
              </w:rPr>
              <w:t xml:space="preserve">非专业人员 </w:t>
            </w:r>
            <w:r w:rsidRPr="008A0347">
              <w:rPr>
                <w:rFonts w:ascii="宋体" w:hAnsi="宋体" w:hint="eastAsia"/>
                <w:szCs w:val="21"/>
              </w:rPr>
              <w:sym w:font="Wingdings 2" w:char="F0A3"/>
            </w:r>
            <w:r w:rsidRPr="008A0347">
              <w:rPr>
                <w:rFonts w:ascii="宋体" w:hAnsi="宋体" w:hint="eastAsia"/>
                <w:szCs w:val="21"/>
              </w:rPr>
              <w:t xml:space="preserve">患者 </w:t>
            </w:r>
            <w:r w:rsidRPr="008A0347">
              <w:rPr>
                <w:rFonts w:ascii="宋体" w:hAnsi="宋体" w:hint="eastAsia"/>
                <w:szCs w:val="21"/>
              </w:rPr>
              <w:sym w:font="Wingdings 2" w:char="F0A3"/>
            </w:r>
            <w:r w:rsidRPr="008A0347">
              <w:rPr>
                <w:rFonts w:ascii="宋体" w:hAnsi="宋体" w:hint="eastAsia"/>
                <w:szCs w:val="21"/>
              </w:rPr>
              <w:t xml:space="preserve">其它（请注明）： </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17. 有效期至：               年    月    日</w:t>
            </w:r>
          </w:p>
          <w:p w:rsidR="0091765C" w:rsidRPr="008A0347" w:rsidRDefault="0091765C" w:rsidP="003A017A">
            <w:pPr>
              <w:rPr>
                <w:rFonts w:ascii="宋体" w:hAnsi="宋体" w:hint="eastAsia"/>
                <w:szCs w:val="21"/>
              </w:rPr>
            </w:pPr>
            <w:r w:rsidRPr="008A0347">
              <w:rPr>
                <w:rFonts w:ascii="宋体" w:hAnsi="宋体" w:hint="eastAsia"/>
                <w:szCs w:val="21"/>
              </w:rPr>
              <w:t>18．生产日期：               年    月    日</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19.</w:t>
            </w:r>
            <w:r w:rsidRPr="008A0347">
              <w:rPr>
                <w:rFonts w:ascii="宋体" w:hAnsi="宋体"/>
                <w:szCs w:val="21"/>
              </w:rPr>
              <w:t xml:space="preserve"> </w:t>
            </w:r>
            <w:r w:rsidRPr="008A0347">
              <w:rPr>
                <w:rFonts w:ascii="宋体" w:hAnsi="宋体" w:hint="eastAsia"/>
                <w:szCs w:val="21"/>
              </w:rPr>
              <w:t>停用日期：               年    月    日</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vAlign w:val="center"/>
          </w:tcPr>
          <w:p w:rsidR="0091765C" w:rsidRPr="008A0347" w:rsidRDefault="0091765C" w:rsidP="003A017A">
            <w:pPr>
              <w:rPr>
                <w:rFonts w:ascii="宋体" w:hAnsi="宋体" w:hint="eastAsia"/>
                <w:szCs w:val="21"/>
              </w:rPr>
            </w:pPr>
            <w:r w:rsidRPr="008A0347">
              <w:rPr>
                <w:rFonts w:ascii="宋体" w:hAnsi="宋体" w:hint="eastAsia"/>
                <w:szCs w:val="21"/>
              </w:rPr>
              <w:t>20. 植入日期(若植入)：       年    月    日</w:t>
            </w:r>
          </w:p>
        </w:tc>
      </w:tr>
      <w:tr w:rsidR="0091765C" w:rsidRPr="008A0347" w:rsidTr="003A017A">
        <w:tblPrEx>
          <w:tblCellMar>
            <w:top w:w="0" w:type="dxa"/>
            <w:bottom w:w="0" w:type="dxa"/>
          </w:tblCellMar>
        </w:tblPrEx>
        <w:trPr>
          <w:trHeight w:val="802"/>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21. 事件发生初步原因分析：</w:t>
            </w:r>
          </w:p>
        </w:tc>
      </w:tr>
      <w:tr w:rsidR="0091765C" w:rsidRPr="008A0347" w:rsidTr="003A017A">
        <w:tblPrEx>
          <w:tblCellMar>
            <w:top w:w="0" w:type="dxa"/>
            <w:bottom w:w="0" w:type="dxa"/>
          </w:tblCellMar>
        </w:tblPrEx>
        <w:trPr>
          <w:trHeight w:val="795"/>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22. 事件初步处理情况：</w:t>
            </w:r>
          </w:p>
        </w:tc>
      </w:tr>
      <w:tr w:rsidR="0091765C" w:rsidRPr="008A0347" w:rsidTr="003A017A">
        <w:tblPrEx>
          <w:tblCellMar>
            <w:top w:w="0" w:type="dxa"/>
            <w:bottom w:w="0" w:type="dxa"/>
          </w:tblCellMar>
        </w:tblPrEx>
        <w:trPr>
          <w:trHeight w:val="540"/>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23．事件报告状态：</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已通知使用单位 </w:t>
            </w:r>
            <w:r w:rsidRPr="008A0347">
              <w:rPr>
                <w:rFonts w:ascii="宋体" w:hAnsi="宋体" w:hint="eastAsia"/>
                <w:szCs w:val="21"/>
              </w:rPr>
              <w:sym w:font="Wingdings 2" w:char="F0A3"/>
            </w:r>
            <w:r w:rsidRPr="008A0347">
              <w:rPr>
                <w:rFonts w:ascii="宋体" w:hAnsi="宋体" w:hint="eastAsia"/>
                <w:szCs w:val="21"/>
              </w:rPr>
              <w:t xml:space="preserve">  已通知生产企业   </w:t>
            </w:r>
          </w:p>
          <w:p w:rsidR="0091765C" w:rsidRPr="008A0347" w:rsidRDefault="0091765C" w:rsidP="003A017A">
            <w:pPr>
              <w:rPr>
                <w:rFonts w:ascii="宋体" w:hAnsi="宋体" w:hint="eastAsia"/>
                <w:szCs w:val="21"/>
              </w:rPr>
            </w:pPr>
            <w:r w:rsidRPr="008A0347">
              <w:rPr>
                <w:rFonts w:ascii="宋体" w:hAnsi="宋体" w:hint="eastAsia"/>
                <w:szCs w:val="21"/>
              </w:rPr>
              <w:sym w:font="Wingdings 2" w:char="F0A3"/>
            </w:r>
            <w:r w:rsidRPr="008A0347">
              <w:rPr>
                <w:rFonts w:ascii="宋体" w:hAnsi="宋体" w:hint="eastAsia"/>
                <w:szCs w:val="21"/>
              </w:rPr>
              <w:t xml:space="preserve">  已通知经营企业 </w:t>
            </w:r>
            <w:r w:rsidRPr="008A0347">
              <w:rPr>
                <w:rFonts w:ascii="宋体" w:hAnsi="宋体" w:hint="eastAsia"/>
                <w:szCs w:val="21"/>
              </w:rPr>
              <w:sym w:font="Wingdings 2" w:char="F0A3"/>
            </w:r>
            <w:r w:rsidRPr="008A0347">
              <w:rPr>
                <w:rFonts w:ascii="宋体" w:hAnsi="宋体" w:hint="eastAsia"/>
                <w:szCs w:val="21"/>
              </w:rPr>
              <w:t xml:space="preserve">  已通知药监部门</w:t>
            </w:r>
          </w:p>
        </w:tc>
      </w:tr>
      <w:tr w:rsidR="0091765C" w:rsidRPr="008A0347" w:rsidTr="003A017A">
        <w:tblPrEx>
          <w:tblCellMar>
            <w:top w:w="0" w:type="dxa"/>
            <w:bottom w:w="0" w:type="dxa"/>
          </w:tblCellMar>
        </w:tblPrEx>
        <w:trPr>
          <w:trHeight w:val="332"/>
        </w:trPr>
        <w:tc>
          <w:tcPr>
            <w:tcW w:w="4882" w:type="dxa"/>
            <w:tcBorders>
              <w:top w:val="single" w:sz="4" w:space="0" w:color="auto"/>
              <w:left w:val="single" w:sz="4" w:space="0" w:color="auto"/>
              <w:bottom w:val="single" w:sz="4" w:space="0" w:color="auto"/>
              <w:right w:val="single" w:sz="4" w:space="0" w:color="auto"/>
            </w:tcBorders>
            <w:shd w:val="clear" w:color="auto" w:fill="C0C0C0"/>
          </w:tcPr>
          <w:p w:rsidR="0091765C" w:rsidRPr="008A0347" w:rsidRDefault="0091765C" w:rsidP="003A017A">
            <w:pPr>
              <w:rPr>
                <w:rFonts w:ascii="宋体" w:hAnsi="宋体" w:hint="eastAsia"/>
                <w:b/>
                <w:szCs w:val="21"/>
              </w:rPr>
            </w:pPr>
            <w:r w:rsidRPr="008A0347">
              <w:rPr>
                <w:rFonts w:ascii="宋体" w:hAnsi="宋体" w:hint="eastAsia"/>
                <w:b/>
                <w:szCs w:val="21"/>
              </w:rPr>
              <w:t>D. 不良事件评价</w:t>
            </w:r>
          </w:p>
        </w:tc>
      </w:tr>
      <w:tr w:rsidR="0091765C" w:rsidRPr="008A0347" w:rsidTr="003A017A">
        <w:tblPrEx>
          <w:tblCellMar>
            <w:top w:w="0" w:type="dxa"/>
            <w:bottom w:w="0" w:type="dxa"/>
          </w:tblCellMar>
        </w:tblPrEx>
        <w:trPr>
          <w:trHeight w:val="856"/>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hint="eastAsia"/>
                <w:szCs w:val="21"/>
              </w:rPr>
            </w:pPr>
            <w:r w:rsidRPr="008A0347">
              <w:rPr>
                <w:rFonts w:ascii="宋体" w:hAnsi="宋体" w:hint="eastAsia"/>
                <w:szCs w:val="21"/>
              </w:rPr>
              <w:t xml:space="preserve">24．省级监测技术机构评价意见（可另附附页）: </w:t>
            </w:r>
          </w:p>
        </w:tc>
      </w:tr>
      <w:tr w:rsidR="0091765C" w:rsidRPr="008A0347" w:rsidTr="003A017A">
        <w:tblPrEx>
          <w:tblCellMar>
            <w:top w:w="0" w:type="dxa"/>
            <w:bottom w:w="0" w:type="dxa"/>
          </w:tblCellMar>
        </w:tblPrEx>
        <w:trPr>
          <w:trHeight w:val="842"/>
        </w:trPr>
        <w:tc>
          <w:tcPr>
            <w:tcW w:w="4882" w:type="dxa"/>
            <w:tcBorders>
              <w:top w:val="single" w:sz="4" w:space="0" w:color="auto"/>
              <w:left w:val="single" w:sz="4" w:space="0" w:color="auto"/>
              <w:bottom w:val="single" w:sz="4" w:space="0" w:color="auto"/>
              <w:right w:val="single" w:sz="4" w:space="0" w:color="auto"/>
            </w:tcBorders>
          </w:tcPr>
          <w:p w:rsidR="0091765C" w:rsidRPr="008A0347" w:rsidRDefault="0091765C" w:rsidP="003A017A">
            <w:pPr>
              <w:rPr>
                <w:rFonts w:ascii="宋体" w:hAnsi="宋体" w:hint="eastAsia"/>
                <w:szCs w:val="21"/>
                <w:shd w:val="pct15" w:color="auto" w:fill="FFFFFF"/>
              </w:rPr>
            </w:pPr>
            <w:r w:rsidRPr="008A0347">
              <w:rPr>
                <w:rFonts w:ascii="宋体" w:hAnsi="宋体" w:hint="eastAsia"/>
                <w:szCs w:val="21"/>
              </w:rPr>
              <w:t xml:space="preserve">25．国家监测技术机构评价意见（可另附附页）: </w:t>
            </w:r>
          </w:p>
        </w:tc>
      </w:tr>
    </w:tbl>
    <w:p w:rsidR="0091765C" w:rsidRPr="008A0347" w:rsidRDefault="0091765C" w:rsidP="0091765C">
      <w:pPr>
        <w:rPr>
          <w:rFonts w:ascii="宋体" w:hAnsi="宋体" w:hint="eastAsia"/>
          <w:spacing w:val="20"/>
          <w:szCs w:val="21"/>
        </w:rPr>
      </w:pPr>
    </w:p>
    <w:p w:rsidR="0091765C" w:rsidRPr="008A0347" w:rsidRDefault="0091765C" w:rsidP="0091765C">
      <w:pPr>
        <w:ind w:leftChars="-600" w:left="-1260" w:rightChars="-416" w:right="-874" w:firstLineChars="100" w:firstLine="250"/>
        <w:rPr>
          <w:rFonts w:ascii="宋体" w:hAnsi="宋体"/>
          <w:szCs w:val="21"/>
        </w:rPr>
      </w:pPr>
      <w:r w:rsidRPr="008A0347">
        <w:rPr>
          <w:rFonts w:ascii="宋体" w:hAnsi="宋体" w:hint="eastAsia"/>
          <w:spacing w:val="20"/>
          <w:szCs w:val="21"/>
        </w:rPr>
        <w:t xml:space="preserve">报告人签名：          </w:t>
      </w:r>
      <w:r>
        <w:rPr>
          <w:rFonts w:ascii="宋体" w:hAnsi="宋体" w:hint="eastAsia"/>
          <w:spacing w:val="20"/>
          <w:szCs w:val="21"/>
        </w:rPr>
        <w:t xml:space="preserve">                               </w:t>
      </w:r>
      <w:r w:rsidRPr="008A0347">
        <w:rPr>
          <w:rFonts w:ascii="宋体" w:hAnsi="宋体" w:hint="eastAsia"/>
          <w:spacing w:val="20"/>
          <w:szCs w:val="21"/>
        </w:rPr>
        <w:t xml:space="preserve">  </w:t>
      </w:r>
      <w:r w:rsidRPr="008A0347">
        <w:rPr>
          <w:rFonts w:ascii="宋体" w:hAnsi="宋体" w:hint="eastAsia"/>
          <w:b/>
          <w:bCs/>
          <w:szCs w:val="21"/>
        </w:rPr>
        <w:t>国家食品药品监督管理局制</w:t>
      </w:r>
    </w:p>
    <w:p w:rsidR="0091765C" w:rsidRDefault="0091765C" w:rsidP="0091765C">
      <w:pPr>
        <w:widowControl/>
        <w:spacing w:line="360" w:lineRule="auto"/>
        <w:jc w:val="center"/>
        <w:rPr>
          <w:rFonts w:ascii="宋体" w:hAnsi="宋体" w:cs="宋体" w:hint="eastAsia"/>
          <w:b/>
          <w:color w:val="000000"/>
          <w:kern w:val="0"/>
          <w:sz w:val="24"/>
        </w:rPr>
      </w:pPr>
    </w:p>
    <w:p w:rsidR="00D742A3" w:rsidRPr="0091765C" w:rsidRDefault="00D742A3"/>
    <w:sectPr w:rsidR="00D742A3" w:rsidRPr="009176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28A" w:rsidRDefault="0030328A">
      <w:r>
        <w:separator/>
      </w:r>
    </w:p>
  </w:endnote>
  <w:endnote w:type="continuationSeparator" w:id="1">
    <w:p w:rsidR="0030328A" w:rsidRDefault="00303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Arial Unicode MS"/>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17A" w:rsidRDefault="003A017A" w:rsidP="003A017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A017A" w:rsidRDefault="003A017A" w:rsidP="003A017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17A" w:rsidRDefault="003A017A" w:rsidP="003A017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E1BCE">
      <w:rPr>
        <w:rStyle w:val="a4"/>
        <w:noProof/>
      </w:rPr>
      <w:t>2</w:t>
    </w:r>
    <w:r>
      <w:rPr>
        <w:rStyle w:val="a4"/>
      </w:rPr>
      <w:fldChar w:fldCharType="end"/>
    </w:r>
  </w:p>
  <w:p w:rsidR="003A017A" w:rsidRDefault="003A017A" w:rsidP="003A017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28A" w:rsidRDefault="0030328A">
      <w:r>
        <w:separator/>
      </w:r>
    </w:p>
  </w:footnote>
  <w:footnote w:type="continuationSeparator" w:id="1">
    <w:p w:rsidR="0030328A" w:rsidRDefault="003032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765C"/>
    <w:rsid w:val="0001632B"/>
    <w:rsid w:val="00026B84"/>
    <w:rsid w:val="000763FB"/>
    <w:rsid w:val="000B6561"/>
    <w:rsid w:val="000C07BF"/>
    <w:rsid w:val="001217C0"/>
    <w:rsid w:val="00132F73"/>
    <w:rsid w:val="0016084E"/>
    <w:rsid w:val="00160B42"/>
    <w:rsid w:val="00174405"/>
    <w:rsid w:val="00186AEC"/>
    <w:rsid w:val="001B3A96"/>
    <w:rsid w:val="001C1761"/>
    <w:rsid w:val="001E6373"/>
    <w:rsid w:val="0025688F"/>
    <w:rsid w:val="002664E3"/>
    <w:rsid w:val="002873F5"/>
    <w:rsid w:val="00290A43"/>
    <w:rsid w:val="00294993"/>
    <w:rsid w:val="002B5CA6"/>
    <w:rsid w:val="002C39FC"/>
    <w:rsid w:val="0030328A"/>
    <w:rsid w:val="00383002"/>
    <w:rsid w:val="003A017A"/>
    <w:rsid w:val="003D14E1"/>
    <w:rsid w:val="003E108F"/>
    <w:rsid w:val="003E7771"/>
    <w:rsid w:val="003F7B3B"/>
    <w:rsid w:val="00424696"/>
    <w:rsid w:val="00442D21"/>
    <w:rsid w:val="00445852"/>
    <w:rsid w:val="00467E36"/>
    <w:rsid w:val="004A6455"/>
    <w:rsid w:val="004A7974"/>
    <w:rsid w:val="004D6AD5"/>
    <w:rsid w:val="004F6C34"/>
    <w:rsid w:val="00556C8D"/>
    <w:rsid w:val="005C3A9D"/>
    <w:rsid w:val="005C4E06"/>
    <w:rsid w:val="005C779A"/>
    <w:rsid w:val="005D0B54"/>
    <w:rsid w:val="006073AA"/>
    <w:rsid w:val="006173BC"/>
    <w:rsid w:val="00646236"/>
    <w:rsid w:val="00661411"/>
    <w:rsid w:val="00671800"/>
    <w:rsid w:val="006C0A95"/>
    <w:rsid w:val="006C6AA3"/>
    <w:rsid w:val="006D0DF8"/>
    <w:rsid w:val="006E4DF5"/>
    <w:rsid w:val="007717BD"/>
    <w:rsid w:val="007903E0"/>
    <w:rsid w:val="00805A07"/>
    <w:rsid w:val="00831127"/>
    <w:rsid w:val="00845D82"/>
    <w:rsid w:val="00864775"/>
    <w:rsid w:val="00873703"/>
    <w:rsid w:val="008C2F3A"/>
    <w:rsid w:val="008D11B5"/>
    <w:rsid w:val="008E1BCE"/>
    <w:rsid w:val="00900BF7"/>
    <w:rsid w:val="009110CB"/>
    <w:rsid w:val="0091765C"/>
    <w:rsid w:val="0093324A"/>
    <w:rsid w:val="00992996"/>
    <w:rsid w:val="009B4EEF"/>
    <w:rsid w:val="009D2F8B"/>
    <w:rsid w:val="00A0297B"/>
    <w:rsid w:val="00A35D05"/>
    <w:rsid w:val="00A56C48"/>
    <w:rsid w:val="00A6672A"/>
    <w:rsid w:val="00A820DB"/>
    <w:rsid w:val="00A95877"/>
    <w:rsid w:val="00AA15FA"/>
    <w:rsid w:val="00AA213F"/>
    <w:rsid w:val="00AC0EFE"/>
    <w:rsid w:val="00AD3414"/>
    <w:rsid w:val="00AE75B5"/>
    <w:rsid w:val="00B13373"/>
    <w:rsid w:val="00BA42DD"/>
    <w:rsid w:val="00BB6F2C"/>
    <w:rsid w:val="00C63669"/>
    <w:rsid w:val="00C70B00"/>
    <w:rsid w:val="00CA63B0"/>
    <w:rsid w:val="00CB01EB"/>
    <w:rsid w:val="00CE75F0"/>
    <w:rsid w:val="00CF3A51"/>
    <w:rsid w:val="00CF493C"/>
    <w:rsid w:val="00D32C6A"/>
    <w:rsid w:val="00D366F1"/>
    <w:rsid w:val="00D65A40"/>
    <w:rsid w:val="00D67E4E"/>
    <w:rsid w:val="00D742A3"/>
    <w:rsid w:val="00D82365"/>
    <w:rsid w:val="00E26C94"/>
    <w:rsid w:val="00E3270D"/>
    <w:rsid w:val="00E40B40"/>
    <w:rsid w:val="00E5159C"/>
    <w:rsid w:val="00E67758"/>
    <w:rsid w:val="00E82B83"/>
    <w:rsid w:val="00EA4327"/>
    <w:rsid w:val="00F04FFA"/>
    <w:rsid w:val="00F13D52"/>
    <w:rsid w:val="00F752D8"/>
    <w:rsid w:val="00F85B25"/>
    <w:rsid w:val="00FE72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65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1765C"/>
    <w:pPr>
      <w:tabs>
        <w:tab w:val="center" w:pos="4153"/>
        <w:tab w:val="right" w:pos="8306"/>
      </w:tabs>
      <w:snapToGrid w:val="0"/>
      <w:jc w:val="left"/>
    </w:pPr>
    <w:rPr>
      <w:sz w:val="18"/>
      <w:szCs w:val="18"/>
    </w:rPr>
  </w:style>
  <w:style w:type="character" w:styleId="a4">
    <w:name w:val="page number"/>
    <w:basedOn w:val="a0"/>
    <w:rsid w:val="0091765C"/>
  </w:style>
  <w:style w:type="paragraph" w:styleId="a5">
    <w:name w:val="header"/>
    <w:basedOn w:val="a"/>
    <w:rsid w:val="0091765C"/>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da.gov.cn/gsyj08766/f1.ra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710</Words>
  <Characters>4053</Characters>
  <Application>Microsoft Office Word</Application>
  <DocSecurity>0</DocSecurity>
  <Lines>33</Lines>
  <Paragraphs>9</Paragraphs>
  <ScaleCrop>false</ScaleCrop>
  <Company>Microsoft</Company>
  <LinksUpToDate>false</LinksUpToDate>
  <CharactersWithSpaces>4754</CharactersWithSpaces>
  <SharedDoc>false</SharedDoc>
  <HLinks>
    <vt:vector size="6" baseType="variant">
      <vt:variant>
        <vt:i4>7143475</vt:i4>
      </vt:variant>
      <vt:variant>
        <vt:i4>0</vt:i4>
      </vt:variant>
      <vt:variant>
        <vt:i4>0</vt:i4>
      </vt:variant>
      <vt:variant>
        <vt:i4>5</vt:i4>
      </vt:variant>
      <vt:variant>
        <vt:lpwstr>http://www.sda.gov.cn/gsyj08766/f1.rar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关于印发医疗器械不良事件监测和再评价管理办法（试行）的通知</dc:title>
  <dc:creator>微软系统</dc:creator>
  <cp:lastModifiedBy>HX-shote</cp:lastModifiedBy>
  <cp:revision>2</cp:revision>
  <dcterms:created xsi:type="dcterms:W3CDTF">2012-05-30T04:29:00Z</dcterms:created>
  <dcterms:modified xsi:type="dcterms:W3CDTF">2012-05-30T04:29:00Z</dcterms:modified>
</cp:coreProperties>
</file>