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jc w:val="center"/>
        <w:textAlignment w:val="auto"/>
        <w:rPr>
          <w:rFonts w:hint="eastAsia" w:ascii="黑体" w:hAnsi="黑体" w:eastAsia="黑体" w:cs="黑体"/>
          <w:sz w:val="44"/>
          <w:szCs w:val="44"/>
        </w:rPr>
      </w:pPr>
      <w:r>
        <w:rPr>
          <w:rFonts w:hint="eastAsia" w:ascii="黑体" w:hAnsi="黑体" w:eastAsia="黑体" w:cs="黑体"/>
          <w:b/>
          <w:bCs/>
          <w:kern w:val="0"/>
          <w:sz w:val="44"/>
          <w:szCs w:val="44"/>
        </w:rPr>
        <w:t>普外一</w:t>
      </w:r>
      <w:r>
        <w:rPr>
          <w:rFonts w:hint="eastAsia" w:ascii="黑体" w:hAnsi="黑体" w:eastAsia="黑体" w:cs="黑体"/>
          <w:b/>
          <w:bCs/>
          <w:kern w:val="0"/>
          <w:sz w:val="44"/>
          <w:szCs w:val="44"/>
          <w:lang w:eastAsia="zh-CN"/>
        </w:rPr>
        <w:t>病房</w:t>
      </w:r>
      <w:r>
        <w:rPr>
          <w:rFonts w:hint="eastAsia" w:ascii="黑体" w:hAnsi="黑体" w:eastAsia="黑体" w:cs="黑体"/>
          <w:b/>
          <w:bCs/>
          <w:kern w:val="0"/>
          <w:sz w:val="44"/>
          <w:szCs w:val="44"/>
        </w:rPr>
        <w:t>进修招生简章</w:t>
      </w:r>
    </w:p>
    <w:p>
      <w:pPr>
        <w:pStyle w:val="11"/>
        <w:keepNext w:val="0"/>
        <w:keepLines w:val="0"/>
        <w:pageBreakBefore w:val="0"/>
        <w:numPr>
          <w:ilvl w:val="0"/>
          <w:numId w:val="0"/>
        </w:numPr>
        <w:kinsoku/>
        <w:overflowPunct/>
        <w:topLinePunct w:val="0"/>
        <w:autoSpaceDE/>
        <w:autoSpaceDN/>
        <w:bidi w:val="0"/>
        <w:adjustRightInd/>
        <w:spacing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bidi="ar-SA"/>
        </w:rPr>
        <w:t>一、</w:t>
      </w:r>
      <w:r>
        <w:rPr>
          <w:rFonts w:hint="eastAsia" w:ascii="仿宋_GB2312" w:hAnsi="仿宋_GB2312" w:eastAsia="仿宋_GB2312" w:cs="仿宋_GB2312"/>
          <w:b/>
          <w:bCs/>
          <w:kern w:val="0"/>
          <w:sz w:val="28"/>
          <w:szCs w:val="28"/>
        </w:rPr>
        <w:t>科室简介</w:t>
      </w:r>
    </w:p>
    <w:p>
      <w:pPr>
        <w:pStyle w:val="11"/>
        <w:keepNext w:val="0"/>
        <w:keepLines w:val="0"/>
        <w:pageBreakBefore w:val="0"/>
        <w:kinsoku/>
        <w:overflowPunct/>
        <w:topLinePunct w:val="0"/>
        <w:autoSpaceDE/>
        <w:autoSpaceDN/>
        <w:bidi w:val="0"/>
        <w:adjustRightInd/>
        <w:spacing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一</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总体介绍</w:t>
      </w:r>
    </w:p>
    <w:p>
      <w:pPr>
        <w:pStyle w:val="6"/>
        <w:keepNext w:val="0"/>
        <w:keepLines w:val="0"/>
        <w:pageBreakBefore w:val="0"/>
        <w:widowControl/>
        <w:shd w:val="clear" w:color="auto" w:fill="FFFFFF"/>
        <w:kinsoku/>
        <w:overflowPunct/>
        <w:topLinePunct w:val="0"/>
        <w:autoSpaceDE/>
        <w:autoSpaceDN/>
        <w:bidi w:val="0"/>
        <w:adjustRightInd/>
        <w:spacing w:before="0" w:beforeAutospacing="0" w:after="0" w:afterAutospacing="0" w:line="360" w:lineRule="auto"/>
        <w:ind w:left="0" w:leftChars="0" w:firstLine="560" w:firstLineChars="200"/>
        <w:textAlignment w:val="auto"/>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shd w:val="clear" w:color="auto" w:fill="FFFFFF"/>
        </w:rPr>
        <w:t>普外一</w:t>
      </w:r>
      <w:r>
        <w:rPr>
          <w:rFonts w:hint="eastAsia" w:ascii="仿宋_GB2312" w:hAnsi="仿宋_GB2312" w:eastAsia="仿宋_GB2312" w:cs="仿宋_GB2312"/>
          <w:color w:val="333333"/>
          <w:sz w:val="28"/>
          <w:szCs w:val="28"/>
          <w:shd w:val="clear" w:color="auto" w:fill="FFFFFF"/>
          <w:lang w:eastAsia="zh-CN"/>
        </w:rPr>
        <w:t>病房</w:t>
      </w:r>
      <w:r>
        <w:rPr>
          <w:rFonts w:hint="eastAsia" w:ascii="仿宋_GB2312" w:hAnsi="仿宋_GB2312" w:eastAsia="仿宋_GB2312" w:cs="仿宋_GB2312"/>
          <w:color w:val="333333"/>
          <w:sz w:val="28"/>
          <w:szCs w:val="28"/>
          <w:shd w:val="clear" w:color="auto" w:fill="FFFFFF"/>
        </w:rPr>
        <w:t>于2012年随成都上锦南府医院－华西上锦医院开院成立。科室位于第一住院大楼十楼，编制床位57张。病床使用率达到100%以上，年门诊1万人次，年住院病人3000人次，年手术台2000多台。</w:t>
      </w:r>
    </w:p>
    <w:p>
      <w:pPr>
        <w:pStyle w:val="6"/>
        <w:keepNext w:val="0"/>
        <w:keepLines w:val="0"/>
        <w:pageBreakBefore w:val="0"/>
        <w:widowControl/>
        <w:shd w:val="clear" w:color="auto" w:fill="FFFFFF"/>
        <w:kinsoku/>
        <w:overflowPunct/>
        <w:topLinePunct w:val="0"/>
        <w:autoSpaceDE/>
        <w:autoSpaceDN/>
        <w:bidi w:val="0"/>
        <w:adjustRightInd/>
        <w:spacing w:before="0" w:beforeAutospacing="0" w:after="0" w:afterAutospacing="0" w:line="360" w:lineRule="auto"/>
        <w:ind w:left="0" w:leftChars="0" w:firstLine="560" w:firstLineChars="200"/>
        <w:textAlignment w:val="auto"/>
        <w:rPr>
          <w:rFonts w:hint="eastAsia" w:ascii="仿宋_GB2312" w:hAnsi="仿宋_GB2312" w:eastAsia="仿宋_GB2312" w:cs="仿宋_GB2312"/>
          <w:color w:val="333333"/>
          <w:sz w:val="28"/>
          <w:szCs w:val="28"/>
          <w:shd w:val="clear" w:color="auto" w:fill="FFFFFF"/>
        </w:rPr>
      </w:pPr>
      <w:r>
        <w:rPr>
          <w:rFonts w:hint="eastAsia" w:ascii="仿宋_GB2312" w:hAnsi="仿宋_GB2312" w:eastAsia="仿宋_GB2312" w:cs="仿宋_GB2312"/>
          <w:color w:val="333333"/>
          <w:sz w:val="28"/>
          <w:szCs w:val="28"/>
          <w:shd w:val="clear" w:color="auto" w:fill="FFFFFF"/>
        </w:rPr>
        <w:t>科室主体医护人员分别由四川大学华西医院本部各普外科室临床业务骨干抽调组成。是上锦医院从事肝胆胰疾病外科治疗的主要科室。</w:t>
      </w:r>
    </w:p>
    <w:p>
      <w:pPr>
        <w:pStyle w:val="6"/>
        <w:keepNext w:val="0"/>
        <w:keepLines w:val="0"/>
        <w:pageBreakBefore w:val="0"/>
        <w:widowControl/>
        <w:shd w:val="clear" w:color="auto" w:fill="FFFFFF"/>
        <w:kinsoku/>
        <w:overflowPunct/>
        <w:topLinePunct w:val="0"/>
        <w:autoSpaceDE/>
        <w:autoSpaceDN/>
        <w:bidi w:val="0"/>
        <w:adjustRightInd/>
        <w:spacing w:before="0" w:beforeAutospacing="0" w:after="0" w:afterAutospacing="0" w:line="360" w:lineRule="auto"/>
        <w:ind w:left="0" w:leftChars="0" w:firstLine="560" w:firstLineChars="200"/>
        <w:textAlignment w:val="auto"/>
        <w:rPr>
          <w:rFonts w:hint="eastAsia" w:ascii="仿宋_GB2312" w:hAnsi="仿宋_GB2312" w:eastAsia="仿宋_GB2312" w:cs="仿宋_GB2312"/>
          <w:color w:val="333333"/>
          <w:sz w:val="28"/>
          <w:szCs w:val="28"/>
          <w:lang w:val="en-US" w:eastAsia="zh-CN"/>
        </w:rPr>
      </w:pPr>
      <w:r>
        <w:rPr>
          <w:rFonts w:hint="eastAsia" w:ascii="仿宋_GB2312" w:hAnsi="仿宋_GB2312" w:eastAsia="仿宋_GB2312" w:cs="仿宋_GB2312"/>
          <w:color w:val="333333"/>
          <w:sz w:val="28"/>
          <w:szCs w:val="28"/>
          <w:shd w:val="clear" w:color="auto" w:fill="FFFFFF"/>
        </w:rPr>
        <w:t>科室共有医师1</w:t>
      </w:r>
      <w:r>
        <w:rPr>
          <w:rFonts w:hint="eastAsia" w:ascii="仿宋_GB2312" w:hAnsi="仿宋_GB2312" w:eastAsia="仿宋_GB2312" w:cs="仿宋_GB2312"/>
          <w:color w:val="333333"/>
          <w:sz w:val="28"/>
          <w:szCs w:val="28"/>
          <w:shd w:val="clear" w:color="auto" w:fill="FFFFFF"/>
          <w:lang w:val="en-US" w:eastAsia="zh-CN"/>
        </w:rPr>
        <w:t>0余</w:t>
      </w:r>
      <w:r>
        <w:rPr>
          <w:rFonts w:hint="eastAsia" w:ascii="仿宋_GB2312" w:hAnsi="仿宋_GB2312" w:eastAsia="仿宋_GB2312" w:cs="仿宋_GB2312"/>
          <w:color w:val="333333"/>
          <w:sz w:val="28"/>
          <w:szCs w:val="28"/>
          <w:shd w:val="clear" w:color="auto" w:fill="FFFFFF"/>
        </w:rPr>
        <w:t>人，其中</w:t>
      </w:r>
      <w:r>
        <w:rPr>
          <w:rFonts w:hint="eastAsia" w:ascii="仿宋_GB2312" w:hAnsi="仿宋_GB2312" w:eastAsia="仿宋_GB2312" w:cs="仿宋_GB2312"/>
          <w:color w:val="333333"/>
          <w:sz w:val="28"/>
          <w:szCs w:val="28"/>
          <w:shd w:val="clear" w:color="auto" w:fill="FFFFFF"/>
          <w:lang w:val="en-US" w:eastAsia="zh-CN"/>
        </w:rPr>
        <w:t>包含</w:t>
      </w:r>
      <w:r>
        <w:rPr>
          <w:rFonts w:hint="eastAsia" w:ascii="仿宋_GB2312" w:hAnsi="仿宋_GB2312" w:eastAsia="仿宋_GB2312" w:cs="仿宋_GB2312"/>
          <w:color w:val="333333"/>
          <w:sz w:val="28"/>
          <w:szCs w:val="28"/>
          <w:shd w:val="clear" w:color="auto" w:fill="FFFFFF"/>
        </w:rPr>
        <w:t>正高级职称3人、副高级职称</w:t>
      </w:r>
      <w:r>
        <w:rPr>
          <w:rFonts w:hint="eastAsia" w:ascii="仿宋_GB2312" w:hAnsi="仿宋_GB2312" w:eastAsia="仿宋_GB2312" w:cs="仿宋_GB2312"/>
          <w:color w:val="333333"/>
          <w:sz w:val="28"/>
          <w:szCs w:val="28"/>
          <w:shd w:val="clear" w:color="auto" w:fill="FFFFFF"/>
          <w:lang w:val="en-US" w:eastAsia="zh-CN"/>
        </w:rPr>
        <w:t>2</w:t>
      </w:r>
      <w:r>
        <w:rPr>
          <w:rFonts w:hint="eastAsia" w:ascii="仿宋_GB2312" w:hAnsi="仿宋_GB2312" w:eastAsia="仿宋_GB2312" w:cs="仿宋_GB2312"/>
          <w:color w:val="333333"/>
          <w:sz w:val="28"/>
          <w:szCs w:val="28"/>
          <w:shd w:val="clear" w:color="auto" w:fill="FFFFFF"/>
        </w:rPr>
        <w:t>人、中级职称</w:t>
      </w:r>
      <w:r>
        <w:rPr>
          <w:rFonts w:hint="eastAsia" w:ascii="仿宋_GB2312" w:hAnsi="仿宋_GB2312" w:eastAsia="仿宋_GB2312" w:cs="仿宋_GB2312"/>
          <w:color w:val="333333"/>
          <w:sz w:val="28"/>
          <w:szCs w:val="28"/>
          <w:shd w:val="clear" w:color="auto" w:fill="FFFFFF"/>
          <w:lang w:val="en-US" w:eastAsia="zh-CN"/>
        </w:rPr>
        <w:t>6</w:t>
      </w:r>
      <w:r>
        <w:rPr>
          <w:rFonts w:hint="eastAsia" w:ascii="仿宋_GB2312" w:hAnsi="仿宋_GB2312" w:eastAsia="仿宋_GB2312" w:cs="仿宋_GB2312"/>
          <w:color w:val="333333"/>
          <w:sz w:val="28"/>
          <w:szCs w:val="28"/>
          <w:shd w:val="clear" w:color="auto" w:fill="FFFFFF"/>
        </w:rPr>
        <w:t>人。拥有四川省卫生厅学术带头人、四川省学术技术后备带头人及四川省二类医疗技术专家库专家1人。科室多名医师曾在美国、欧洲、日本等国际知名大学留学或研修。分别担任中华医学会外科学分会青年委员、中国医师协会微创外科学组委员、中国医师协会免气腹腔镜学组常务委员、中华医学会外科营养学组委员、中国医师协会肿瘤微创及消融治疗分会常委、中华医学会肿瘤学分会胰腺癌学组青年委员、亚洲冷冻学会委员、四川省医学会外科专委会委员、成都市医学会普外科学组委员等国内普外科知名学术团体成员。同时担任美国、英国、加拿大、澳大利亚等多个国外知名学术杂志审稿人或编委。科室还拥有一支由22人组成的专业护士团队。其中主管护师</w:t>
      </w:r>
      <w:r>
        <w:rPr>
          <w:rFonts w:hint="eastAsia" w:ascii="仿宋_GB2312" w:hAnsi="仿宋_GB2312" w:eastAsia="仿宋_GB2312" w:cs="仿宋_GB2312"/>
          <w:color w:val="333333"/>
          <w:sz w:val="28"/>
          <w:szCs w:val="28"/>
          <w:shd w:val="clear" w:color="auto" w:fill="FFFFFF"/>
          <w:lang w:val="en-US" w:eastAsia="zh-CN"/>
        </w:rPr>
        <w:t>11</w:t>
      </w:r>
      <w:r>
        <w:rPr>
          <w:rFonts w:hint="eastAsia" w:ascii="仿宋_GB2312" w:hAnsi="仿宋_GB2312" w:eastAsia="仿宋_GB2312" w:cs="仿宋_GB2312"/>
          <w:color w:val="333333"/>
          <w:sz w:val="28"/>
          <w:szCs w:val="28"/>
          <w:shd w:val="clear" w:color="auto" w:fill="FFFFFF"/>
        </w:rPr>
        <w:t>人，护师1</w:t>
      </w:r>
      <w:r>
        <w:rPr>
          <w:rFonts w:hint="eastAsia" w:ascii="仿宋_GB2312" w:hAnsi="仿宋_GB2312" w:eastAsia="仿宋_GB2312" w:cs="仿宋_GB2312"/>
          <w:color w:val="333333"/>
          <w:sz w:val="28"/>
          <w:szCs w:val="28"/>
          <w:shd w:val="clear" w:color="auto" w:fill="FFFFFF"/>
          <w:lang w:val="en-US" w:eastAsia="zh-CN"/>
        </w:rPr>
        <w:t>0</w:t>
      </w:r>
      <w:r>
        <w:rPr>
          <w:rFonts w:hint="eastAsia" w:ascii="仿宋_GB2312" w:hAnsi="仿宋_GB2312" w:eastAsia="仿宋_GB2312" w:cs="仿宋_GB2312"/>
          <w:color w:val="333333"/>
          <w:sz w:val="28"/>
          <w:szCs w:val="28"/>
          <w:shd w:val="clear" w:color="auto" w:fill="FFFFFF"/>
        </w:rPr>
        <w:t>人，护士1人</w:t>
      </w:r>
      <w:r>
        <w:rPr>
          <w:rFonts w:hint="eastAsia" w:ascii="仿宋_GB2312" w:hAnsi="仿宋_GB2312" w:eastAsia="仿宋_GB2312" w:cs="仿宋_GB2312"/>
          <w:color w:val="333333"/>
          <w:sz w:val="28"/>
          <w:szCs w:val="28"/>
          <w:shd w:val="clear" w:color="auto" w:fill="FFFFFF"/>
          <w:lang w:eastAsia="zh-CN"/>
        </w:rPr>
        <w:t>。</w:t>
      </w:r>
    </w:p>
    <w:p>
      <w:pPr>
        <w:pStyle w:val="11"/>
        <w:keepNext w:val="0"/>
        <w:keepLines w:val="0"/>
        <w:pageBreakBefore w:val="0"/>
        <w:kinsoku/>
        <w:overflowPunct/>
        <w:topLinePunct w:val="0"/>
        <w:autoSpaceDE/>
        <w:autoSpaceDN/>
        <w:bidi w:val="0"/>
        <w:adjustRightInd/>
        <w:spacing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二</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学术成果介绍</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科室成员曾分别在国家自然科学基金项目、教育部博士点基金项目、中国博士后基金项目、四川省科技支撑重大项目、四川省科技支撑项目、四川大学优秀青年骨干教师基金项目中中标立项。曾分别获国家教育部科技进步奖、卫生部科技进步奖、四川省科技进步奖、全军科技进步奖等奖项评选中获奖。在《Am J Surg 》《Am J Trans Res》《Surg Endosc》《World J Surg》《J Surg Res》《J Surg Oncol》等国际知名医学杂志发表SCI论文约30余篇，国内外发表论文总数200余篇。</w:t>
      </w:r>
    </w:p>
    <w:p>
      <w:pPr>
        <w:pStyle w:val="11"/>
        <w:keepNext w:val="0"/>
        <w:keepLines w:val="0"/>
        <w:pageBreakBefore w:val="0"/>
        <w:kinsoku/>
        <w:overflowPunct/>
        <w:topLinePunct w:val="0"/>
        <w:autoSpaceDE/>
        <w:autoSpaceDN/>
        <w:bidi w:val="0"/>
        <w:adjustRightInd/>
        <w:spacing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三</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亚专业介绍</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科室以肝胆胰脾外科以及疑难病症诊治为特色，以精湛的技术和先进设备为支撑，承担上锦医院以及华西医院的大量医疗、教学和科研工作。科室技术力量雄厚、人员素质优良、人才梯队合理、规章制度健全，具有过硬的专业素养和良好的科室文化。科室曾完成了华西医院及华西上锦医院首例腹腔镜中肝叶切除和单孔腹腔镜胆囊切除；曾完成国内外同行公认的高风险、高难度的多次（五次）胆道术后肝门胆管癌根治术；完成了四川省首例肝胆胰联合切除治疗胆管癌。实施华西医院第一例联合自体小肠移植的胰腺癌根治性切除，实施华西医院第一例联合自体肾移植的胰腺肿瘤切除，率先实施去动脉化的胰腺肿瘤整体切除策略。在胰脾微创的治疗方面也积累了丰富的经验，作为国内胰腺微创手术的开拓者，推动普外科高难度手术 "腹腔镜胰十二指肠切除术"(LPD)，从西部第一例 LPD 到目前已完成 LPD 手术超1800 台。并围绕该术式取得了诸多成绩：联合血管切除重建的 LPD 超 200 台（技术难度最高、全球最多例数）；国际首例肝圆韧带自体移植 LPD(2017)；国际首例新辅助化疗后人工血管重建 LPD(2020)；全球最大单中心 LPD 病例报道(2020 年，550 例)；单孔 LPD 手术超 20 例（例数全球领先）。还在腹腔镜保留十二指肠胰头切除术、全单孔 LPD、腹腔镜全十二指肠切除术等各类高难度手术中均有卓越表现，在胰腺微创外科领域创造数项之最，所做的工作已达国内领先、国际先进水平。也在胰腺微创领域不断创新突破，率先提出 "双主刀" 手术模式、命名"兵式 R8" 胰肠吻合等先进技术，这些技术被纳入中国专家共识并在国内多家医院推广应用。在腹腔镜胰十二指肠切除术（LPD）消化道重建过程中于胰肠吻合技术方面进行改进与创新，提出了“R8”胰肠吻合即“兵式吻合”等新的理念，并参与撰写了“腹腔镜胰腺手术缝合技术与缝合材料选择专家共识”。在规范化外科治疗方面，完成了大量复杂的肝胆胰肿瘤切除、复杂肝胆管结石手术、梗阻性黄疸及复杂胆道再次手术。手术切除率高，部分手术可达到国际先进水平，术后远期疗效好；在微创外科方面，常规开展以腹腔镜为代表的肝胆胰脾微创手术技术，包括腹腔镜各类胰腺手术、腹腔镜各类解剖性肝切除术、腹腔镜各类胆道、脾脏外科手术等。</w:t>
      </w:r>
    </w:p>
    <w:tbl>
      <w:tblPr>
        <w:tblStyle w:val="8"/>
        <w:tblpPr w:leftFromText="180" w:rightFromText="180" w:vertAnchor="text" w:horzAnchor="page" w:tblpX="8906" w:tblpY="590"/>
        <w:tblOverlap w:val="never"/>
        <w:tblW w:w="1626" w:type="dxa"/>
        <w:tblCellSpacing w:w="0" w:type="dxa"/>
        <w:tblInd w:w="0" w:type="dxa"/>
        <w:tblLayout w:type="fixed"/>
        <w:tblCellMar>
          <w:top w:w="0" w:type="dxa"/>
          <w:left w:w="0" w:type="dxa"/>
          <w:bottom w:w="0" w:type="dxa"/>
          <w:right w:w="0" w:type="dxa"/>
        </w:tblCellMar>
      </w:tblPr>
      <w:tblGrid>
        <w:gridCol w:w="1626"/>
      </w:tblGrid>
      <w:tr>
        <w:tblPrEx>
          <w:tblLayout w:type="fixed"/>
          <w:tblCellMar>
            <w:top w:w="0" w:type="dxa"/>
            <w:left w:w="0" w:type="dxa"/>
            <w:bottom w:w="0" w:type="dxa"/>
            <w:right w:w="0" w:type="dxa"/>
          </w:tblCellMar>
        </w:tblPrEx>
        <w:trPr>
          <w:tblCellSpacing w:w="0" w:type="dxa"/>
        </w:trPr>
        <w:tc>
          <w:tcPr>
            <w:tcW w:w="1626" w:type="dxa"/>
            <w:vAlign w:val="center"/>
          </w:tcPr>
          <w:p>
            <w:pPr>
              <w:keepNext w:val="0"/>
              <w:keepLines w:val="0"/>
              <w:pageBreakBefore w:val="0"/>
              <w:widowControl/>
              <w:kinsoku/>
              <w:overflowPunct/>
              <w:topLinePunct w:val="0"/>
              <w:autoSpaceDE/>
              <w:autoSpaceDN/>
              <w:bidi w:val="0"/>
              <w:adjustRightInd/>
              <w:spacing w:line="360" w:lineRule="auto"/>
              <w:ind w:left="0" w:leftChars="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drawing>
                <wp:inline distT="0" distB="0" distL="0" distR="0">
                  <wp:extent cx="1022985" cy="1085850"/>
                  <wp:effectExtent l="0" t="0" r="5715" b="0"/>
                  <wp:docPr id="1026" name="图片 6"/>
                  <wp:cNvGraphicFramePr/>
                  <a:graphic xmlns:a="http://schemas.openxmlformats.org/drawingml/2006/main">
                    <a:graphicData uri="http://schemas.openxmlformats.org/drawingml/2006/picture">
                      <pic:pic xmlns:pic="http://schemas.openxmlformats.org/drawingml/2006/picture">
                        <pic:nvPicPr>
                          <pic:cNvPr id="1026" name="图片 6"/>
                          <pic:cNvPicPr/>
                        </pic:nvPicPr>
                        <pic:blipFill>
                          <a:blip r:embed="rId5" cstate="print"/>
                          <a:srcRect/>
                          <a:stretch>
                            <a:fillRect/>
                          </a:stretch>
                        </pic:blipFill>
                        <pic:spPr>
                          <a:xfrm>
                            <a:off x="0" y="0"/>
                            <a:ext cx="1022985" cy="1085850"/>
                          </a:xfrm>
                          <a:prstGeom prst="rect">
                            <a:avLst/>
                          </a:prstGeom>
                          <a:ln>
                            <a:noFill/>
                          </a:ln>
                        </pic:spPr>
                      </pic:pic>
                    </a:graphicData>
                  </a:graphic>
                </wp:inline>
              </w:drawing>
            </w:r>
          </w:p>
        </w:tc>
      </w:tr>
    </w:tbl>
    <w:p>
      <w:pPr>
        <w:pStyle w:val="11"/>
        <w:keepNext w:val="0"/>
        <w:keepLines w:val="0"/>
        <w:pageBreakBefore w:val="0"/>
        <w:kinsoku/>
        <w:overflowPunct/>
        <w:topLinePunct w:val="0"/>
        <w:autoSpaceDE/>
        <w:autoSpaceDN/>
        <w:bidi w:val="0"/>
        <w:adjustRightInd/>
        <w:spacing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lang w:val="en-US" w:eastAsia="zh-CN"/>
        </w:rPr>
        <w:t>四</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 xml:space="preserve">专家介绍 </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仿宋_GB2312" w:hAnsi="仿宋_GB2312" w:eastAsia="仿宋_GB2312" w:cs="仿宋_GB2312"/>
          <w:b/>
          <w:bCs/>
          <w:color w:val="333333"/>
          <w:kern w:val="0"/>
          <w:sz w:val="28"/>
          <w:szCs w:val="28"/>
          <w:shd w:val="clear" w:color="auto" w:fill="FFFFFF"/>
        </w:rPr>
      </w:pPr>
      <w:r>
        <w:rPr>
          <w:rFonts w:hint="eastAsia" w:ascii="仿宋_GB2312" w:hAnsi="仿宋_GB2312" w:eastAsia="仿宋_GB2312" w:cs="仿宋_GB2312"/>
          <w:b/>
          <w:bCs/>
          <w:color w:val="333333"/>
          <w:kern w:val="0"/>
          <w:sz w:val="28"/>
          <w:szCs w:val="28"/>
          <w:shd w:val="clear" w:color="auto" w:fill="FFFFFF"/>
          <w:lang w:val="en-US" w:eastAsia="zh-CN"/>
        </w:rPr>
        <w:t xml:space="preserve">李宁  </w:t>
      </w:r>
      <w:r>
        <w:rPr>
          <w:rFonts w:hint="eastAsia" w:ascii="仿宋_GB2312" w:hAnsi="仿宋_GB2312" w:eastAsia="仿宋_GB2312" w:cs="仿宋_GB2312"/>
          <w:b/>
          <w:bCs/>
          <w:color w:val="333333"/>
          <w:kern w:val="0"/>
          <w:sz w:val="28"/>
          <w:szCs w:val="28"/>
          <w:shd w:val="clear" w:color="auto" w:fill="FFFFFF"/>
        </w:rPr>
        <w:t>一级专家</w:t>
      </w:r>
      <w:r>
        <w:rPr>
          <w:rFonts w:hint="eastAsia" w:ascii="仿宋_GB2312" w:hAnsi="仿宋_GB2312" w:eastAsia="仿宋_GB2312" w:cs="仿宋_GB2312"/>
          <w:b/>
          <w:bCs/>
          <w:color w:val="333333"/>
          <w:kern w:val="0"/>
          <w:sz w:val="28"/>
          <w:szCs w:val="28"/>
          <w:shd w:val="clear" w:color="auto" w:fill="FFFFFF"/>
          <w:lang w:val="en-US" w:eastAsia="zh-CN"/>
        </w:rPr>
        <w:t xml:space="preserve">  </w:t>
      </w:r>
      <w:r>
        <w:rPr>
          <w:rFonts w:hint="eastAsia" w:ascii="仿宋_GB2312" w:hAnsi="仿宋_GB2312" w:eastAsia="仿宋_GB2312" w:cs="仿宋_GB2312"/>
          <w:b/>
          <w:bCs/>
          <w:color w:val="333333"/>
          <w:kern w:val="0"/>
          <w:sz w:val="28"/>
          <w:szCs w:val="28"/>
          <w:shd w:val="clear" w:color="auto" w:fill="FFFFFF"/>
        </w:rPr>
        <w:t>指导教授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b/>
          <w:bCs/>
          <w:color w:val="333333"/>
          <w:kern w:val="0"/>
          <w:sz w:val="28"/>
          <w:szCs w:val="28"/>
          <w:shd w:val="clear" w:color="auto" w:fill="FFFFFF"/>
        </w:rPr>
        <w:t>亚专业：</w:t>
      </w:r>
      <w:r>
        <w:rPr>
          <w:rFonts w:hint="eastAsia" w:ascii="仿宋_GB2312" w:hAnsi="仿宋_GB2312" w:eastAsia="仿宋_GB2312" w:cs="仿宋_GB2312"/>
          <w:color w:val="333333"/>
          <w:kern w:val="0"/>
          <w:sz w:val="28"/>
          <w:szCs w:val="28"/>
          <w:shd w:val="clear" w:color="auto" w:fill="FFFFFF"/>
        </w:rPr>
        <w:t>普外肝胆外科</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仿宋_GB2312" w:hAnsi="仿宋_GB2312" w:eastAsia="仿宋_GB2312" w:cs="仿宋_GB2312"/>
          <w:b/>
          <w:bCs/>
          <w:color w:val="333333"/>
          <w:kern w:val="0"/>
          <w:sz w:val="28"/>
          <w:szCs w:val="28"/>
          <w:shd w:val="clear" w:color="auto" w:fill="FFFFFF"/>
        </w:rPr>
      </w:pPr>
      <w:r>
        <w:rPr>
          <w:rFonts w:hint="eastAsia" w:ascii="仿宋_GB2312" w:hAnsi="仿宋_GB2312" w:eastAsia="仿宋_GB2312" w:cs="仿宋_GB2312"/>
          <w:b/>
          <w:bCs/>
          <w:color w:val="333333"/>
          <w:kern w:val="0"/>
          <w:sz w:val="28"/>
          <w:szCs w:val="28"/>
          <w:shd w:val="clear" w:color="auto" w:fill="FFFFFF"/>
        </w:rPr>
        <w:t>个人简介：</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在普外科工作的20余年中，积累了大量临床工作经验，工作认真，专业理论知识扎实，业务能力强，熟悉普外科常见多发病及本专业疑难病症的诊治，熟悉胆道外科微创治疗，熟悉普外科领域国内外研究进展。2001年末主持引进美国Radionics公司最新研发的冷循环超能射频肿瘤治疗系统，并亲自操作，为中晚期肝癌病人综合治疗提供了一种新的方法。同时在国内率先开展了肿瘤的超声聚焦无创治疗。并亲自领导科研小组成员进行科研及临床应用方面的工作。达到了国际领先水平。从业以来，在国内各种专业杂志上发表相关学术论文数十篇，参编论著多部。作为主研人员，所参加的研究课题二次获四川省人民政府科技进步奖三等奖。</w:t>
      </w:r>
    </w:p>
    <w:p>
      <w:pPr>
        <w:keepNext w:val="0"/>
        <w:keepLines w:val="0"/>
        <w:pageBreakBefore w:val="0"/>
        <w:kinsoku/>
        <w:overflowPunct/>
        <w:topLinePunct w:val="0"/>
        <w:autoSpaceDE/>
        <w:autoSpaceDN/>
        <w:bidi w:val="0"/>
        <w:adjustRightInd/>
        <w:spacing w:line="360" w:lineRule="auto"/>
        <w:ind w:left="0" w:leftChars="0" w:firstLine="562" w:firstLineChars="200"/>
        <w:textAlignment w:val="auto"/>
        <w:rPr>
          <w:rFonts w:hint="eastAsia" w:ascii="仿宋_GB2312" w:hAnsi="仿宋_GB2312" w:eastAsia="仿宋_GB2312" w:cs="仿宋_GB2312"/>
          <w:b/>
          <w:bCs/>
          <w:color w:val="333333"/>
          <w:kern w:val="0"/>
          <w:sz w:val="28"/>
          <w:szCs w:val="28"/>
          <w:shd w:val="clear" w:color="auto" w:fill="FFFFFF"/>
        </w:rPr>
      </w:pPr>
      <w:r>
        <w:rPr>
          <w:rFonts w:hint="eastAsia" w:ascii="仿宋_GB2312" w:hAnsi="仿宋_GB2312" w:eastAsia="仿宋_GB2312" w:cs="仿宋_GB2312"/>
          <w:b/>
          <w:bCs/>
          <w:color w:val="333333"/>
          <w:kern w:val="0"/>
          <w:sz w:val="28"/>
          <w:szCs w:val="28"/>
          <w:shd w:val="clear" w:color="auto" w:fill="FFFFFF"/>
        </w:rPr>
        <w:t>专业擅长：</w:t>
      </w:r>
    </w:p>
    <w:p>
      <w:pPr>
        <w:pStyle w:val="11"/>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擅长普外科常见多发病及本专业疑难病症的诊治，擅长胆道外科微创治疗，熟悉普外科领域国内外研究进展。</w:t>
      </w:r>
    </w:p>
    <w:p>
      <w:pPr>
        <w:keepNext w:val="0"/>
        <w:keepLines w:val="0"/>
        <w:pageBreakBefore w:val="0"/>
        <w:kinsoku/>
        <w:overflowPunct/>
        <w:topLinePunct w:val="0"/>
        <w:autoSpaceDE/>
        <w:autoSpaceDN/>
        <w:bidi w:val="0"/>
        <w:adjustRightInd/>
        <w:spacing w:line="360" w:lineRule="auto"/>
        <w:ind w:left="0" w:leftChars="0" w:firstLine="562" w:firstLineChars="200"/>
        <w:jc w:val="both"/>
        <w:textAlignment w:val="auto"/>
        <w:rPr>
          <w:rFonts w:hint="eastAsia" w:ascii="仿宋_GB2312" w:hAnsi="仿宋_GB2312" w:eastAsia="仿宋_GB2312" w:cs="仿宋_GB2312"/>
          <w:b/>
          <w:bCs/>
          <w:color w:val="333333"/>
          <w:kern w:val="0"/>
          <w:sz w:val="28"/>
          <w:szCs w:val="28"/>
          <w:shd w:val="clear" w:color="auto" w:fill="FFFFFF"/>
        </w:rPr>
      </w:pPr>
    </w:p>
    <w:p>
      <w:pPr>
        <w:keepNext w:val="0"/>
        <w:keepLines w:val="0"/>
        <w:pageBreakBefore w:val="0"/>
        <w:kinsoku/>
        <w:overflowPunct/>
        <w:topLinePunct w:val="0"/>
        <w:autoSpaceDE/>
        <w:autoSpaceDN/>
        <w:bidi w:val="0"/>
        <w:adjustRightInd/>
        <w:spacing w:line="360" w:lineRule="auto"/>
        <w:ind w:left="0" w:leftChars="0" w:firstLine="562" w:firstLineChars="200"/>
        <w:jc w:val="both"/>
        <w:textAlignment w:val="auto"/>
        <w:rPr>
          <w:rFonts w:hint="eastAsia" w:ascii="仿宋_GB2312" w:hAnsi="仿宋_GB2312" w:eastAsia="仿宋_GB2312" w:cs="仿宋_GB2312"/>
          <w:b/>
          <w:bCs/>
          <w:color w:val="333333"/>
          <w:kern w:val="0"/>
          <w:sz w:val="28"/>
          <w:szCs w:val="28"/>
          <w:shd w:val="clear" w:color="auto" w:fill="FFFFFF"/>
        </w:rPr>
      </w:pPr>
      <w:r>
        <w:rPr>
          <w:rFonts w:hint="eastAsia" w:ascii="仿宋_GB2312" w:hAnsi="仿宋_GB2312" w:eastAsia="仿宋_GB2312" w:cs="仿宋_GB2312"/>
          <w:b/>
          <w:bCs/>
          <w:color w:val="333333"/>
          <w:kern w:val="0"/>
          <w:sz w:val="28"/>
          <w:szCs w:val="28"/>
          <w:shd w:val="clear" w:color="auto" w:fill="FFFFFF"/>
        </w:rPr>
        <w:t>彭兵</w:t>
      </w:r>
      <w:r>
        <w:rPr>
          <w:rFonts w:hint="eastAsia" w:ascii="仿宋_GB2312" w:hAnsi="仿宋_GB2312" w:eastAsia="仿宋_GB2312" w:cs="仿宋_GB2312"/>
          <w:b/>
          <w:bCs/>
          <w:color w:val="333333"/>
          <w:kern w:val="0"/>
          <w:sz w:val="28"/>
          <w:szCs w:val="28"/>
          <w:shd w:val="clear" w:color="auto" w:fill="FFFFFF"/>
          <w:lang w:val="en-US" w:eastAsia="zh-CN"/>
        </w:rPr>
        <w:t xml:space="preserve"> </w:t>
      </w:r>
      <w:r>
        <w:rPr>
          <w:rFonts w:hint="eastAsia" w:ascii="仿宋_GB2312" w:hAnsi="仿宋_GB2312" w:eastAsia="仿宋_GB2312" w:cs="仿宋_GB2312"/>
          <w:b/>
          <w:bCs/>
          <w:color w:val="333333"/>
          <w:kern w:val="0"/>
          <w:sz w:val="28"/>
          <w:szCs w:val="28"/>
          <w:shd w:val="clear" w:color="auto" w:fill="FFFFFF"/>
        </w:rPr>
        <w:t xml:space="preserve">一级专家 </w:t>
      </w:r>
      <w:r>
        <w:rPr>
          <w:rFonts w:hint="eastAsia" w:ascii="仿宋_GB2312" w:hAnsi="仿宋_GB2312" w:eastAsia="仿宋_GB2312" w:cs="仿宋_GB2312"/>
          <w:b/>
          <w:bCs/>
          <w:color w:val="333333"/>
          <w:kern w:val="0"/>
          <w:sz w:val="28"/>
          <w:szCs w:val="28"/>
          <w:shd w:val="clear" w:color="auto" w:fill="FFFFFF"/>
          <w:lang w:val="en-US" w:eastAsia="zh-CN"/>
        </w:rPr>
        <w:t xml:space="preserve"> </w:t>
      </w:r>
      <w:r>
        <w:rPr>
          <w:rFonts w:hint="eastAsia" w:ascii="仿宋_GB2312" w:hAnsi="仿宋_GB2312" w:eastAsia="仿宋_GB2312" w:cs="仿宋_GB2312"/>
          <w:b/>
          <w:bCs/>
          <w:color w:val="333333"/>
          <w:kern w:val="0"/>
          <w:sz w:val="28"/>
          <w:szCs w:val="28"/>
          <w:shd w:val="clear" w:color="auto" w:fill="FFFFFF"/>
        </w:rPr>
        <w:t>指导教授</w:t>
      </w:r>
    </w:p>
    <w:p>
      <w:pPr>
        <w:pStyle w:val="11"/>
        <w:keepNext w:val="0"/>
        <w:keepLines w:val="0"/>
        <w:pageBreakBefore w:val="0"/>
        <w:kinsoku/>
        <w:overflowPunct/>
        <w:topLinePunct w:val="0"/>
        <w:autoSpaceDE/>
        <w:autoSpaceDN/>
        <w:bidi w:val="0"/>
        <w:adjustRightInd/>
        <w:spacing w:line="360" w:lineRule="auto"/>
        <w:ind w:left="0" w:leftChars="0" w:firstLine="560" w:firstLineChars="200"/>
        <w:jc w:val="both"/>
        <w:textAlignment w:val="auto"/>
        <w:rPr>
          <w:rFonts w:hint="eastAsia" w:ascii="仿宋_GB2312" w:hAnsi="仿宋_GB2312" w:eastAsia="仿宋_GB2312" w:cs="仿宋_GB2312"/>
          <w:color w:val="333333"/>
          <w:kern w:val="0"/>
          <w:sz w:val="28"/>
          <w:szCs w:val="28"/>
          <w:shd w:val="clear" w:color="auto" w:fill="FFFFFF"/>
        </w:rPr>
      </w:pPr>
      <w:r>
        <w:rPr>
          <w:sz w:val="28"/>
        </w:rPr>
        <mc:AlternateContent>
          <mc:Choice Requires="wps">
            <w:drawing>
              <wp:anchor distT="0" distB="0" distL="114300" distR="114300" simplePos="0" relativeHeight="251659264" behindDoc="0" locked="0" layoutInCell="1" allowOverlap="1">
                <wp:simplePos x="0" y="0"/>
                <wp:positionH relativeFrom="column">
                  <wp:posOffset>4829810</wp:posOffset>
                </wp:positionH>
                <wp:positionV relativeFrom="paragraph">
                  <wp:posOffset>120015</wp:posOffset>
                </wp:positionV>
                <wp:extent cx="1229360" cy="1576070"/>
                <wp:effectExtent l="0" t="0" r="8890" b="5080"/>
                <wp:wrapSquare wrapText="bothSides"/>
                <wp:docPr id="1" name="文本框 1"/>
                <wp:cNvGraphicFramePr/>
                <a:graphic xmlns:a="http://schemas.openxmlformats.org/drawingml/2006/main">
                  <a:graphicData uri="http://schemas.microsoft.com/office/word/2010/wordprocessingShape">
                    <wps:wsp>
                      <wps:cNvSpPr txBox="1"/>
                      <wps:spPr>
                        <a:xfrm>
                          <a:off x="2381885" y="908050"/>
                          <a:ext cx="1229360" cy="157607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pPr>
                              <w:rPr>
                                <w14:textFill>
                                  <w14:noFill/>
                                </w14:textFill>
                              </w:rPr>
                            </w:pPr>
                            <w:r>
                              <w:rPr>
                                <w:rFonts w:hint="eastAsia" w:ascii="仿宋_GB2312" w:hAnsi="仿宋_GB2312" w:eastAsia="仿宋_GB2312" w:cs="仿宋_GB2312"/>
                                <w:kern w:val="0"/>
                                <w:sz w:val="28"/>
                                <w:szCs w:val="28"/>
                                <w14:textFill>
                                  <w14:noFill/>
                                </w14:textFill>
                              </w:rPr>
                              <w:drawing>
                                <wp:inline distT="0" distB="0" distL="0" distR="0">
                                  <wp:extent cx="1085850" cy="1255395"/>
                                  <wp:effectExtent l="0" t="0" r="0" b="1905"/>
                                  <wp:docPr id="2" name="图片 2" descr="C:/Users/DELL/Documents/彭兵证件照西装.jpg彭兵证件照西装"/>
                                  <wp:cNvGraphicFramePr/>
                                  <a:graphic xmlns:a="http://schemas.openxmlformats.org/drawingml/2006/main">
                                    <a:graphicData uri="http://schemas.openxmlformats.org/drawingml/2006/picture">
                                      <pic:pic xmlns:pic="http://schemas.openxmlformats.org/drawingml/2006/picture">
                                        <pic:nvPicPr>
                                          <pic:cNvPr id="2" name="图片 2" descr="C:/Users/DELL/Documents/彭兵证件照西装.jpg彭兵证件照西装"/>
                                          <pic:cNvPicPr/>
                                        </pic:nvPicPr>
                                        <pic:blipFill>
                                          <a:blip r:embed="rId6" cstate="print"/>
                                          <a:srcRect l="-702" t="1193" r="702" b="32200"/>
                                          <a:stretch>
                                            <a:fillRect/>
                                          </a:stretch>
                                        </pic:blipFill>
                                        <pic:spPr>
                                          <a:xfrm>
                                            <a:off x="0" y="0"/>
                                            <a:ext cx="1085850" cy="1255395"/>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0.3pt;margin-top:9.45pt;height:124.1pt;width:96.8pt;mso-wrap-distance-bottom:0pt;mso-wrap-distance-left:9pt;mso-wrap-distance-right:9pt;mso-wrap-distance-top:0pt;z-index:251659264;mso-width-relative:page;mso-height-relative:page;" filled="f" stroked="f" coordsize="21600,21600" o:gfxdata="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fuuzC9sAAAAKAQAADwAAAAAAAAABACAAAAAiAAAAZHJzL2Rvd25yZXYueG1sUEsBAhQAFAAAAAgA&#10;h07iQJAsGD2UAgAADAUAAA4AAAAAAAAAAQAgAAAAKgEAAGRycy9lMm9Eb2MueG1sUEsFBgAAAAAG&#10;AAYAWQEAADAGAAAAAA==&#10;">
                <v:fill on="f" focussize="0,0"/>
                <v:stroke on="f" weight="0.5pt"/>
                <v:imagedata o:title=""/>
                <o:lock v:ext="edit" aspectratio="f"/>
                <v:textbox>
                  <w:txbxContent>
                    <w:p>
                      <w:pPr>
                        <w:rPr>
                          <w14:textFill>
                            <w14:noFill/>
                          </w14:textFill>
                        </w:rPr>
                      </w:pPr>
                      <w:r>
                        <w:rPr>
                          <w:rFonts w:hint="eastAsia" w:ascii="仿宋_GB2312" w:hAnsi="仿宋_GB2312" w:eastAsia="仿宋_GB2312" w:cs="仿宋_GB2312"/>
                          <w:kern w:val="0"/>
                          <w:sz w:val="28"/>
                          <w:szCs w:val="28"/>
                          <w14:textFill>
                            <w14:noFill/>
                          </w14:textFill>
                        </w:rPr>
                        <w:drawing>
                          <wp:inline distT="0" distB="0" distL="0" distR="0">
                            <wp:extent cx="1085850" cy="1255395"/>
                            <wp:effectExtent l="0" t="0" r="0" b="1905"/>
                            <wp:docPr id="2" name="图片 2" descr="C:/Users/DELL/Documents/彭兵证件照西装.jpg彭兵证件照西装"/>
                            <wp:cNvGraphicFramePr/>
                            <a:graphic xmlns:a="http://schemas.openxmlformats.org/drawingml/2006/main">
                              <a:graphicData uri="http://schemas.openxmlformats.org/drawingml/2006/picture">
                                <pic:pic xmlns:pic="http://schemas.openxmlformats.org/drawingml/2006/picture">
                                  <pic:nvPicPr>
                                    <pic:cNvPr id="2" name="图片 2" descr="C:/Users/DELL/Documents/彭兵证件照西装.jpg彭兵证件照西装"/>
                                    <pic:cNvPicPr/>
                                  </pic:nvPicPr>
                                  <pic:blipFill>
                                    <a:blip r:embed="rId6" cstate="print"/>
                                    <a:srcRect l="-702" t="1193" r="702" b="32200"/>
                                    <a:stretch>
                                      <a:fillRect/>
                                    </a:stretch>
                                  </pic:blipFill>
                                  <pic:spPr>
                                    <a:xfrm>
                                      <a:off x="0" y="0"/>
                                      <a:ext cx="1085850" cy="1255395"/>
                                    </a:xfrm>
                                    <a:prstGeom prst="rect">
                                      <a:avLst/>
                                    </a:prstGeom>
                                    <a:ln>
                                      <a:noFill/>
                                    </a:ln>
                                  </pic:spPr>
                                </pic:pic>
                              </a:graphicData>
                            </a:graphic>
                          </wp:inline>
                        </w:drawing>
                      </w:r>
                    </w:p>
                  </w:txbxContent>
                </v:textbox>
                <w10:wrap type="square"/>
              </v:shape>
            </w:pict>
          </mc:Fallback>
        </mc:AlternateContent>
      </w:r>
      <w:r>
        <w:rPr>
          <w:rFonts w:hint="eastAsia" w:ascii="仿宋_GB2312" w:hAnsi="仿宋_GB2312" w:eastAsia="仿宋_GB2312" w:cs="仿宋_GB2312"/>
          <w:b/>
          <w:bCs/>
          <w:kern w:val="0"/>
          <w:sz w:val="28"/>
          <w:szCs w:val="28"/>
        </w:rPr>
        <w:t>亚专业：</w:t>
      </w:r>
      <w:r>
        <w:rPr>
          <w:rFonts w:hint="eastAsia" w:ascii="仿宋_GB2312" w:hAnsi="仿宋_GB2312" w:eastAsia="仿宋_GB2312" w:cs="仿宋_GB2312"/>
          <w:color w:val="333333"/>
          <w:kern w:val="0"/>
          <w:sz w:val="28"/>
          <w:szCs w:val="28"/>
          <w:shd w:val="clear" w:color="auto" w:fill="FFFFFF"/>
        </w:rPr>
        <w:t>肝胆胰微创外科</w:t>
      </w:r>
    </w:p>
    <w:p>
      <w:pPr>
        <w:pStyle w:val="11"/>
        <w:keepNext w:val="0"/>
        <w:keepLines w:val="0"/>
        <w:pageBreakBefore w:val="0"/>
        <w:kinsoku/>
        <w:overflowPunct/>
        <w:topLinePunct w:val="0"/>
        <w:autoSpaceDE/>
        <w:autoSpaceDN/>
        <w:bidi w:val="0"/>
        <w:adjustRightInd/>
        <w:spacing w:line="360" w:lineRule="auto"/>
        <w:ind w:left="0" w:leftChars="0"/>
        <w:jc w:val="both"/>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个人简介：</w:t>
      </w:r>
    </w:p>
    <w:p>
      <w:pPr>
        <w:pStyle w:val="11"/>
        <w:keepNext w:val="0"/>
        <w:keepLines w:val="0"/>
        <w:pageBreakBefore w:val="0"/>
        <w:kinsoku/>
        <w:overflowPunct/>
        <w:topLinePunct w:val="0"/>
        <w:autoSpaceDE/>
        <w:autoSpaceDN/>
        <w:bidi w:val="0"/>
        <w:adjustRightInd/>
        <w:spacing w:line="360" w:lineRule="auto"/>
        <w:ind w:left="0" w:leftChars="0"/>
        <w:jc w:val="both"/>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医学博士，教授、主任医师，博士生导师。中华医学会外科分会腹腔镜与内镜学组委员，美国外科学院 Fellow（FACS），IASGO微创外科中国分会委员，中国医师协会外科分会微创专业委员会委员，中国医师协会微无创专委会胰腺外科学组副组长，中国抗癌协会胰腺癌专业委员会微创诊治学组副组长，中国医疗保健国际交流促进会胰腺疾病分会胰腺疾病微创治疗学组副组长，国家远程医疗与互联网医学中心肝胆外科专委会联席主席，第十二批省卫生计生委学术技术带头人，四川省医师协会胰腺病分会会长。先后获四川省科技进步奖三等奖三项（其中两项为课题负责人）。主持或参加国家和省部科研课题13项。以第一作者或通讯作者身份在 Int J Surg（3 篇IF=13.4）Ann Surg（2 篇 IF=7.9）等杂志共发表论文 200 余篇。主编专著四部《腹腔镜胰腺外科手术学》《腹腔镜脾脏外科手术学》《Minimally Invasive Pancreatic Surgery》、Springer（斯普林格）《Laparoscopic Surgery of the Spleen》。</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彭兵教授团队在国内较早开展普外“珠峰级”手术腹腔镜胰十二指肠切除术（LPD），是该手术在国内第二次浪潮的先行者和推动者。作为胰腺微创外科开拓者之一，在全国 26省市直辖市，超 120 余家医院（覆盖全省多数地市州医院）行手术演示和指导，推动川内 19 个地市州 50 余家医院开展 LPD 手术，为胰腺微创手术推广和应用起重要作用，具有广泛社会和经济效益。是大陆首位赴欧洲及亚洲最大腔镜培训中心演示 LPD 的专家，曾多次受邀在美、印、韩及中国港台演讲，提升我国该领域国际影响力。牵头/参与多项有关胰腺微创指南和专家共识制定，研究成果被国际微创胰腺循证指南引用。以循证医学为基础牵头发布《腹腔镜和机器人辅助联合门静脉－肠系膜上静脉切除重建的胰十二指肠切除术专家共识（2025）》。获中国外科腔镜发展 30 周年特别贡献奖。</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专业擅长：</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常规开展以腹腔镜为代表的肝胆胰脾微创手术技术，包括腹腔镜各类胰腺手术（尤其是腹腔镜胰十二指肠切除术）、腹腔镜各类解剖性肝切除术、腹腔镜各类胆道、脾脏手术。</w:t>
      </w:r>
    </w:p>
    <w:p>
      <w:pPr>
        <w:pStyle w:val="2"/>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lang w:val="en-US" w:eastAsia="zh-CN"/>
        </w:rPr>
      </w:pPr>
    </w:p>
    <w:p>
      <w:pPr>
        <w:pStyle w:val="2"/>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b/>
          <w:bCs/>
          <w:color w:val="333333"/>
          <w:kern w:val="0"/>
          <w:sz w:val="28"/>
          <w:szCs w:val="28"/>
          <w:shd w:val="clear" w:color="auto" w:fill="FFFFFF"/>
          <w:lang w:val="en-US"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4838700</wp:posOffset>
                </wp:positionH>
                <wp:positionV relativeFrom="paragraph">
                  <wp:posOffset>158750</wp:posOffset>
                </wp:positionV>
                <wp:extent cx="1290320" cy="1489075"/>
                <wp:effectExtent l="0" t="0" r="0" b="0"/>
                <wp:wrapSquare wrapText="bothSides"/>
                <wp:docPr id="4" name="文本框 4"/>
                <wp:cNvGraphicFramePr/>
                <a:graphic xmlns:a="http://schemas.openxmlformats.org/drawingml/2006/main">
                  <a:graphicData uri="http://schemas.microsoft.com/office/word/2010/wordprocessingShape">
                    <wps:wsp>
                      <wps:cNvSpPr txBox="1"/>
                      <wps:spPr>
                        <a:xfrm>
                          <a:off x="4961890" y="5205730"/>
                          <a:ext cx="1290320" cy="14890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_GB2312" w:hAnsi="仿宋_GB2312" w:eastAsia="仿宋_GB2312" w:cs="仿宋_GB2312"/>
                                <w:kern w:val="0"/>
                                <w:sz w:val="28"/>
                                <w:szCs w:val="28"/>
                                <w:lang w:eastAsia="zh-CN"/>
                              </w:rPr>
                              <w:drawing>
                                <wp:inline distT="0" distB="0" distL="0" distR="0">
                                  <wp:extent cx="1097280" cy="1097280"/>
                                  <wp:effectExtent l="0" t="0" r="7620" b="7620"/>
                                  <wp:docPr id="5" name="图片 5" descr="6de9f81e42a89b1916a745efcd0da306"/>
                                  <wp:cNvGraphicFramePr/>
                                  <a:graphic xmlns:a="http://schemas.openxmlformats.org/drawingml/2006/main">
                                    <a:graphicData uri="http://schemas.openxmlformats.org/drawingml/2006/picture">
                                      <pic:pic xmlns:pic="http://schemas.openxmlformats.org/drawingml/2006/picture">
                                        <pic:nvPicPr>
                                          <pic:cNvPr id="5" name="图片 5" descr="6de9f81e42a89b1916a745efcd0da306"/>
                                          <pic:cNvPicPr/>
                                        </pic:nvPicPr>
                                        <pic:blipFill>
                                          <a:blip r:embed="rId7" cstate="print"/>
                                          <a:srcRect/>
                                          <a:stretch>
                                            <a:fillRect/>
                                          </a:stretch>
                                        </pic:blipFill>
                                        <pic:spPr>
                                          <a:xfrm>
                                            <a:off x="0" y="0"/>
                                            <a:ext cx="1097280" cy="1097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pt;margin-top:12.5pt;height:117.25pt;width:101.6pt;mso-wrap-distance-bottom:0pt;mso-wrap-distance-left:9pt;mso-wrap-distance-right:9pt;mso-wrap-distance-top:0pt;z-index:251660288;mso-width-relative:page;mso-height-relative:page;" filled="f" stroked="f" coordsize="21600,21600" o:gfxdata="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NRQrJ2wAAAAoBAAAPAAAAAAAAAAEAIAAAACIAAABkcnMvZG93bnJldi54bWxQSwEC&#10;FAAUAAAACACHTuJAv8g4sCoCAAAlBAAADgAAAAAAAAABACAAAAAqAQAAZHJzL2Uyb0RvYy54bWxQ&#10;SwUGAAAAAAYABgBZAQAAxgUAAAAA&#10;">
                <v:fill on="f" focussize="0,0"/>
                <v:stroke on="f" weight="0.5pt"/>
                <v:imagedata o:title=""/>
                <o:lock v:ext="edit" aspectratio="f"/>
                <v:textbox>
                  <w:txbxContent>
                    <w:p>
                      <w:r>
                        <w:rPr>
                          <w:rFonts w:hint="eastAsia" w:ascii="仿宋_GB2312" w:hAnsi="仿宋_GB2312" w:eastAsia="仿宋_GB2312" w:cs="仿宋_GB2312"/>
                          <w:kern w:val="0"/>
                          <w:sz w:val="28"/>
                          <w:szCs w:val="28"/>
                          <w:lang w:eastAsia="zh-CN"/>
                        </w:rPr>
                        <w:drawing>
                          <wp:inline distT="0" distB="0" distL="0" distR="0">
                            <wp:extent cx="1097280" cy="1097280"/>
                            <wp:effectExtent l="0" t="0" r="7620" b="7620"/>
                            <wp:docPr id="5" name="图片 5" descr="6de9f81e42a89b1916a745efcd0da306"/>
                            <wp:cNvGraphicFramePr/>
                            <a:graphic xmlns:a="http://schemas.openxmlformats.org/drawingml/2006/main">
                              <a:graphicData uri="http://schemas.openxmlformats.org/drawingml/2006/picture">
                                <pic:pic xmlns:pic="http://schemas.openxmlformats.org/drawingml/2006/picture">
                                  <pic:nvPicPr>
                                    <pic:cNvPr id="5" name="图片 5" descr="6de9f81e42a89b1916a745efcd0da306"/>
                                    <pic:cNvPicPr/>
                                  </pic:nvPicPr>
                                  <pic:blipFill>
                                    <a:blip r:embed="rId7" cstate="print"/>
                                    <a:srcRect/>
                                    <a:stretch>
                                      <a:fillRect/>
                                    </a:stretch>
                                  </pic:blipFill>
                                  <pic:spPr>
                                    <a:xfrm>
                                      <a:off x="0" y="0"/>
                                      <a:ext cx="1097280" cy="1097280"/>
                                    </a:xfrm>
                                    <a:prstGeom prst="rect">
                                      <a:avLst/>
                                    </a:prstGeom>
                                  </pic:spPr>
                                </pic:pic>
                              </a:graphicData>
                            </a:graphic>
                          </wp:inline>
                        </w:drawing>
                      </w:r>
                    </w:p>
                  </w:txbxContent>
                </v:textbox>
                <w10:wrap type="square"/>
              </v:shape>
            </w:pict>
          </mc:Fallback>
        </mc:AlternateContent>
      </w:r>
      <w:r>
        <w:rPr>
          <w:rFonts w:hint="eastAsia" w:ascii="仿宋_GB2312" w:hAnsi="仿宋_GB2312" w:eastAsia="仿宋_GB2312" w:cs="仿宋_GB2312"/>
          <w:b/>
          <w:bCs/>
          <w:color w:val="333333"/>
          <w:kern w:val="0"/>
          <w:sz w:val="28"/>
          <w:szCs w:val="28"/>
          <w:shd w:val="clear" w:color="auto" w:fill="FFFFFF"/>
          <w:lang w:val="en-US" w:eastAsia="zh-CN"/>
        </w:rPr>
        <w:t>周勇 一级专家  医疗组长</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b/>
          <w:bCs/>
          <w:kern w:val="0"/>
          <w:sz w:val="28"/>
          <w:szCs w:val="28"/>
        </w:rPr>
        <w:t>亚专业：</w:t>
      </w:r>
      <w:r>
        <w:rPr>
          <w:rFonts w:hint="eastAsia" w:ascii="仿宋_GB2312" w:hAnsi="仿宋_GB2312" w:eastAsia="仿宋_GB2312" w:cs="仿宋_GB2312"/>
          <w:color w:val="333333"/>
          <w:kern w:val="0"/>
          <w:sz w:val="28"/>
          <w:szCs w:val="28"/>
          <w:shd w:val="clear" w:color="auto" w:fill="FFFFFF"/>
        </w:rPr>
        <w:t>普外肝胆外科</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个人简介：</w:t>
      </w:r>
    </w:p>
    <w:p>
      <w:pPr>
        <w:pStyle w:val="2"/>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医学</w:t>
      </w:r>
      <w:r>
        <w:rPr>
          <w:rFonts w:hint="eastAsia" w:ascii="仿宋_GB2312" w:hAnsi="仿宋_GB2312" w:eastAsia="仿宋_GB2312" w:cs="仿宋_GB2312"/>
          <w:color w:val="333333"/>
          <w:kern w:val="0"/>
          <w:sz w:val="28"/>
          <w:szCs w:val="28"/>
          <w:shd w:val="clear" w:color="auto" w:fill="FFFFFF"/>
          <w:lang w:val="en-US" w:eastAsia="zh-CN"/>
        </w:rPr>
        <w:t>硕士</w:t>
      </w:r>
      <w:r>
        <w:rPr>
          <w:rFonts w:hint="eastAsia" w:ascii="仿宋_GB2312" w:hAnsi="仿宋_GB2312" w:eastAsia="仿宋_GB2312" w:cs="仿宋_GB2312"/>
          <w:color w:val="333333"/>
          <w:kern w:val="0"/>
          <w:sz w:val="28"/>
          <w:szCs w:val="28"/>
          <w:shd w:val="clear" w:color="auto" w:fill="FFFFFF"/>
        </w:rPr>
        <w:t>，1985年7月毕业于华西医科大学医学系，获得医学学士学位。毕业后留校从事普外科临床医疗教学科研工作。1991年9月-1994年12月攻读普外科硕士学位研究生，主要从事肝脏外科临床研究工作，对肝胆胰的诊治有丰富经验，特别是腹腔镜肝切除和肝胆胰肿瘤方面有较深造诣。</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专业擅长：</w:t>
      </w:r>
    </w:p>
    <w:p>
      <w:pPr>
        <w:pStyle w:val="2"/>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 xml:space="preserve">擅长单孔腹腔镜胆囊切除、腹腔镜肝切除。在大肝癌切除，包含门静脉切除重建及规范淋巴结清扫的胰头癌、胆管癌、胆囊癌扩大术方面有丰富的经验。在胆道再次手术、胰管结石、梗阻性黄疸、门静脉高压症诊治方面也有较深造诣。 </w:t>
      </w:r>
    </w:p>
    <w:p>
      <w:pPr>
        <w:pStyle w:val="2"/>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p>
    <w:p>
      <w:pPr>
        <w:keepNext w:val="0"/>
        <w:keepLines w:val="0"/>
        <w:pageBreakBefore w:val="0"/>
        <w:kinsoku/>
        <w:overflowPunct/>
        <w:topLinePunct w:val="0"/>
        <w:autoSpaceDE/>
        <w:autoSpaceDN/>
        <w:bidi w:val="0"/>
        <w:adjustRightInd/>
        <w:spacing w:line="360" w:lineRule="auto"/>
        <w:ind w:left="0" w:leftChars="0" w:firstLine="562" w:firstLineChars="200"/>
        <w:textAlignment w:val="auto"/>
        <w:rPr>
          <w:rFonts w:hint="eastAsia" w:ascii="仿宋_GB2312" w:hAnsi="仿宋_GB2312" w:eastAsia="仿宋_GB2312" w:cs="仿宋_GB2312"/>
          <w:b/>
          <w:bCs/>
          <w:color w:val="333333"/>
          <w:kern w:val="0"/>
          <w:sz w:val="28"/>
          <w:szCs w:val="28"/>
          <w:shd w:val="clear" w:color="auto" w:fill="FFFFFF"/>
        </w:rPr>
      </w:pPr>
      <w:r>
        <w:rPr>
          <w:b/>
          <w:bCs/>
          <w:sz w:val="28"/>
        </w:rPr>
        <mc:AlternateContent>
          <mc:Choice Requires="wps">
            <w:drawing>
              <wp:anchor distT="0" distB="0" distL="114300" distR="114300" simplePos="0" relativeHeight="251661312" behindDoc="0" locked="0" layoutInCell="1" allowOverlap="1">
                <wp:simplePos x="0" y="0"/>
                <wp:positionH relativeFrom="column">
                  <wp:posOffset>4795520</wp:posOffset>
                </wp:positionH>
                <wp:positionV relativeFrom="paragraph">
                  <wp:posOffset>393700</wp:posOffset>
                </wp:positionV>
                <wp:extent cx="1256030" cy="1316355"/>
                <wp:effectExtent l="0" t="0" r="0" b="0"/>
                <wp:wrapSquare wrapText="bothSides"/>
                <wp:docPr id="6" name="文本框 6"/>
                <wp:cNvGraphicFramePr/>
                <a:graphic xmlns:a="http://schemas.openxmlformats.org/drawingml/2006/main">
                  <a:graphicData uri="http://schemas.microsoft.com/office/word/2010/wordprocessingShape">
                    <wps:wsp>
                      <wps:cNvSpPr txBox="1"/>
                      <wps:spPr>
                        <a:xfrm>
                          <a:off x="4996180" y="2047875"/>
                          <a:ext cx="1256030" cy="13163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_GB2312" w:hAnsi="仿宋_GB2312" w:eastAsia="仿宋_GB2312" w:cs="仿宋_GB2312"/>
                                <w:kern w:val="0"/>
                                <w:sz w:val="28"/>
                                <w:szCs w:val="28"/>
                              </w:rPr>
                              <w:drawing>
                                <wp:inline distT="0" distB="0" distL="0" distR="0">
                                  <wp:extent cx="1085850" cy="1085850"/>
                                  <wp:effectExtent l="0" t="0" r="0" b="0"/>
                                  <wp:docPr id="7" name="图片 4"/>
                                  <wp:cNvGraphicFramePr/>
                                  <a:graphic xmlns:a="http://schemas.openxmlformats.org/drawingml/2006/main">
                                    <a:graphicData uri="http://schemas.openxmlformats.org/drawingml/2006/picture">
                                      <pic:pic xmlns:pic="http://schemas.openxmlformats.org/drawingml/2006/picture">
                                        <pic:nvPicPr>
                                          <pic:cNvPr id="7" name="图片 4"/>
                                          <pic:cNvPicPr/>
                                        </pic:nvPicPr>
                                        <pic:blipFill>
                                          <a:blip r:embed="rId8" cstate="print"/>
                                          <a:srcRect/>
                                          <a:stretch>
                                            <a:fillRect/>
                                          </a:stretch>
                                        </pic:blipFill>
                                        <pic:spPr>
                                          <a:xfrm>
                                            <a:off x="0" y="0"/>
                                            <a:ext cx="1085850" cy="108585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7.6pt;margin-top:31pt;height:103.65pt;width:98.9pt;mso-wrap-distance-bottom:0pt;mso-wrap-distance-left:9pt;mso-wrap-distance-right:9pt;mso-wrap-distance-top:0pt;z-index:251661312;mso-width-relative:page;mso-height-relative:page;" filled="f" stroked="f" coordsize="21600,21600" o:gfxdata="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GzxE9oAAAAKAQAADwAAAAAAAAABACAAAAAiAAAAZHJzL2Rvd25yZXYueG1sUEsB&#10;AhQAFAAAAAgAh07iQH4ivAssAgAAJQQAAA4AAAAAAAAAAQAgAAAAKQEAAGRycy9lMm9Eb2MueG1s&#10;UEsFBgAAAAAGAAYAWQEAAMcFAAAAAA==&#10;">
                <v:fill on="f" focussize="0,0"/>
                <v:stroke on="f" weight="0.5pt"/>
                <v:imagedata o:title=""/>
                <o:lock v:ext="edit" aspectratio="f"/>
                <v:textbox>
                  <w:txbxContent>
                    <w:p>
                      <w:r>
                        <w:rPr>
                          <w:rFonts w:hint="eastAsia" w:ascii="仿宋_GB2312" w:hAnsi="仿宋_GB2312" w:eastAsia="仿宋_GB2312" w:cs="仿宋_GB2312"/>
                          <w:kern w:val="0"/>
                          <w:sz w:val="28"/>
                          <w:szCs w:val="28"/>
                        </w:rPr>
                        <w:drawing>
                          <wp:inline distT="0" distB="0" distL="0" distR="0">
                            <wp:extent cx="1085850" cy="1085850"/>
                            <wp:effectExtent l="0" t="0" r="0" b="0"/>
                            <wp:docPr id="7" name="图片 4"/>
                            <wp:cNvGraphicFramePr/>
                            <a:graphic xmlns:a="http://schemas.openxmlformats.org/drawingml/2006/main">
                              <a:graphicData uri="http://schemas.openxmlformats.org/drawingml/2006/picture">
                                <pic:pic xmlns:pic="http://schemas.openxmlformats.org/drawingml/2006/picture">
                                  <pic:nvPicPr>
                                    <pic:cNvPr id="7" name="图片 4"/>
                                    <pic:cNvPicPr/>
                                  </pic:nvPicPr>
                                  <pic:blipFill>
                                    <a:blip r:embed="rId8" cstate="print"/>
                                    <a:srcRect/>
                                    <a:stretch>
                                      <a:fillRect/>
                                    </a:stretch>
                                  </pic:blipFill>
                                  <pic:spPr>
                                    <a:xfrm>
                                      <a:off x="0" y="0"/>
                                      <a:ext cx="1085850" cy="1085850"/>
                                    </a:xfrm>
                                    <a:prstGeom prst="rect">
                                      <a:avLst/>
                                    </a:prstGeom>
                                    <a:ln>
                                      <a:noFill/>
                                    </a:ln>
                                  </pic:spPr>
                                </pic:pic>
                              </a:graphicData>
                            </a:graphic>
                          </wp:inline>
                        </w:drawing>
                      </w:r>
                    </w:p>
                  </w:txbxContent>
                </v:textbox>
                <w10:wrap type="square"/>
              </v:shape>
            </w:pict>
          </mc:Fallback>
        </mc:AlternateContent>
      </w:r>
      <w:r>
        <w:rPr>
          <w:rFonts w:hint="eastAsia" w:ascii="仿宋_GB2312" w:hAnsi="仿宋_GB2312" w:eastAsia="仿宋_GB2312" w:cs="仿宋_GB2312"/>
          <w:b/>
          <w:bCs/>
          <w:color w:val="333333"/>
          <w:kern w:val="0"/>
          <w:sz w:val="28"/>
          <w:szCs w:val="28"/>
          <w:shd w:val="clear" w:color="auto" w:fill="FFFFFF"/>
        </w:rPr>
        <w:t>张懿 二级专家 医疗组长 科主任</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b/>
          <w:bCs/>
          <w:kern w:val="0"/>
          <w:sz w:val="28"/>
          <w:szCs w:val="28"/>
        </w:rPr>
        <w:t>亚专业：</w:t>
      </w:r>
      <w:r>
        <w:rPr>
          <w:rFonts w:hint="eastAsia" w:ascii="仿宋_GB2312" w:hAnsi="仿宋_GB2312" w:eastAsia="仿宋_GB2312" w:cs="仿宋_GB2312"/>
          <w:color w:val="333333"/>
          <w:kern w:val="0"/>
          <w:sz w:val="28"/>
          <w:szCs w:val="28"/>
          <w:shd w:val="clear" w:color="auto" w:fill="FFFFFF"/>
        </w:rPr>
        <w:t>普外肝胆胰</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个人简介：</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医学博士，四川大学华西临床医学院研究生导师， 华西上锦医院肝胆胰脾微创外科、胰腺肿瘤综合治疗病区主任，哈佛大学医学院博士后访学者，四川省高层次海外留学归国人员，中国抗癌协会胰腺癌专委会委员，中国抗癌协会中西整合胰腺专委会委员，中国成人教育协会医学继续教育专委会消化外科委员会委员，中国中西医结合消化学会胰腺炎专家委员会委员，中国民族医药学会全科医学分会副会长，四川省国际医学交流促进会理事，成都高新医学会胰腺疾病专委会主任委员，四川省国际医学交流促进会胰腺病专委会副主任委员，四川省优抚医疗健康专家组成员。</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实施华西医院第一例联合自体小肠移植的胰腺癌根治性切除，实施华西医院第一例联合自体肾移植的胰腺肿瘤切除，率先实施去动脉化的胰腺肿瘤整体切除策略。担任《BMC Endocrine Disorders》等SCI 杂志审稿人，以第一和通讯作者身份在《Acta P harmaceutica Sinica B》《International Journal of Surgery》等SCI杂志发表论文22篇。参编、参译专著3部，主持多项省部级研究课题，担任科技部重点研发项目副组长，参编出版多项国家标准，获多项发明专利。</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专业擅长：</w:t>
      </w:r>
    </w:p>
    <w:p>
      <w:pPr>
        <w:pStyle w:val="11"/>
        <w:keepNext w:val="0"/>
        <w:keepLines w:val="0"/>
        <w:pageBreakBefore w:val="0"/>
        <w:kinsoku/>
        <w:overflowPunct/>
        <w:topLinePunct w:val="0"/>
        <w:autoSpaceDE/>
        <w:autoSpaceDN/>
        <w:bidi w:val="0"/>
        <w:adjustRightInd/>
        <w:spacing w:line="360" w:lineRule="auto"/>
        <w:ind w:left="0" w:leftChars="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 xml:space="preserve">专长肝胆胰脾外科疾病的临床诊治，擅长腹腔镜微创及开放手术诊治：胰腺癌、急性重症胰腺炎、胰腺神经内分泌肿瘤、壶腹部及十二指肠肿瘤、慢性胰腺炎、胰管结石、肝癌、胆管癌、胆囊癌、囊腺瘤、实性假乳头状肿瘤、胆囊结石、肝胆管结石、脾脏外科疾病等。  </w:t>
      </w:r>
    </w:p>
    <w:p>
      <w:pPr>
        <w:keepNext w:val="0"/>
        <w:keepLines w:val="0"/>
        <w:pageBreakBefore w:val="0"/>
        <w:kinsoku/>
        <w:overflowPunct/>
        <w:topLinePunct w:val="0"/>
        <w:autoSpaceDE/>
        <w:autoSpaceDN/>
        <w:bidi w:val="0"/>
        <w:adjustRightInd/>
        <w:spacing w:line="360" w:lineRule="auto"/>
        <w:ind w:left="0" w:leftChars="0" w:firstLine="562" w:firstLineChars="200"/>
        <w:textAlignment w:val="auto"/>
        <w:rPr>
          <w:rFonts w:hint="eastAsia" w:ascii="仿宋_GB2312" w:hAnsi="仿宋_GB2312" w:eastAsia="仿宋_GB2312" w:cs="仿宋_GB2312"/>
          <w:b/>
          <w:bCs/>
          <w:color w:val="333333"/>
          <w:kern w:val="0"/>
          <w:sz w:val="28"/>
          <w:szCs w:val="28"/>
          <w:shd w:val="clear" w:color="auto" w:fill="FFFFFF"/>
        </w:rPr>
      </w:pP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b/>
          <w:bCs/>
          <w:color w:val="333333"/>
          <w:kern w:val="0"/>
          <w:sz w:val="28"/>
          <w:szCs w:val="28"/>
          <w:shd w:val="clear" w:color="auto" w:fill="FFFFFF"/>
        </w:rPr>
      </w:pPr>
      <w:r>
        <w:rPr>
          <w:sz w:val="28"/>
        </w:rPr>
        <mc:AlternateContent>
          <mc:Choice Requires="wps">
            <w:drawing>
              <wp:anchor distT="0" distB="0" distL="114300" distR="114300" simplePos="0" relativeHeight="251662336" behindDoc="0" locked="0" layoutInCell="1" allowOverlap="1">
                <wp:simplePos x="0" y="0"/>
                <wp:positionH relativeFrom="column">
                  <wp:posOffset>4743450</wp:posOffset>
                </wp:positionH>
                <wp:positionV relativeFrom="paragraph">
                  <wp:posOffset>99060</wp:posOffset>
                </wp:positionV>
                <wp:extent cx="1325245" cy="1471930"/>
                <wp:effectExtent l="0" t="0" r="0" b="0"/>
                <wp:wrapSquare wrapText="bothSides"/>
                <wp:docPr id="8" name="文本框 8"/>
                <wp:cNvGraphicFramePr/>
                <a:graphic xmlns:a="http://schemas.openxmlformats.org/drawingml/2006/main">
                  <a:graphicData uri="http://schemas.microsoft.com/office/word/2010/wordprocessingShape">
                    <wps:wsp>
                      <wps:cNvSpPr txBox="1"/>
                      <wps:spPr>
                        <a:xfrm>
                          <a:off x="5117465" y="2379980"/>
                          <a:ext cx="1325245" cy="147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_GB2312" w:hAnsi="仿宋_GB2312" w:eastAsia="仿宋_GB2312" w:cs="仿宋_GB2312"/>
                                <w:sz w:val="28"/>
                                <w:szCs w:val="28"/>
                              </w:rPr>
                              <w:drawing>
                                <wp:inline distT="0" distB="0" distL="0" distR="0">
                                  <wp:extent cx="1105535" cy="1285240"/>
                                  <wp:effectExtent l="0" t="0" r="18415" b="10160"/>
                                  <wp:docPr id="9" name="图片 1"/>
                                  <wp:cNvGraphicFramePr/>
                                  <a:graphic xmlns:a="http://schemas.openxmlformats.org/drawingml/2006/main">
                                    <a:graphicData uri="http://schemas.openxmlformats.org/drawingml/2006/picture">
                                      <pic:pic xmlns:pic="http://schemas.openxmlformats.org/drawingml/2006/picture">
                                        <pic:nvPicPr>
                                          <pic:cNvPr id="9" name="图片 1"/>
                                          <pic:cNvPicPr/>
                                        </pic:nvPicPr>
                                        <pic:blipFill>
                                          <a:blip r:embed="rId9" cstate="print"/>
                                          <a:srcRect/>
                                          <a:stretch>
                                            <a:fillRect/>
                                          </a:stretch>
                                        </pic:blipFill>
                                        <pic:spPr>
                                          <a:xfrm>
                                            <a:off x="0" y="0"/>
                                            <a:ext cx="1105535" cy="1285240"/>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5pt;margin-top:7.8pt;height:115.9pt;width:104.35pt;mso-wrap-distance-bottom:0pt;mso-wrap-distance-left:9pt;mso-wrap-distance-right:9pt;mso-wrap-distance-top:0pt;z-index:251662336;mso-width-relative:page;mso-height-relative:page;" filled="f" stroked="f" coordsize="21600,21600" o:gfxdata="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MqY8NdsAAAAKAQAADwAAAAAAAAABACAAAAAiAAAAZHJzL2Rvd25yZXYueG1sUEsB&#10;AhQAFAAAAAgAh07iQGBtRfErAgAAJQQAAA4AAAAAAAAAAQAgAAAAKgEAAGRycy9lMm9Eb2MueG1s&#10;UEsFBgAAAAAGAAYAWQEAAMcFAAAAAA==&#10;">
                <v:fill on="f" focussize="0,0"/>
                <v:stroke on="f" weight="0.5pt"/>
                <v:imagedata o:title=""/>
                <o:lock v:ext="edit" aspectratio="f"/>
                <v:textbox>
                  <w:txbxContent>
                    <w:p>
                      <w:r>
                        <w:rPr>
                          <w:rFonts w:hint="eastAsia" w:ascii="仿宋_GB2312" w:hAnsi="仿宋_GB2312" w:eastAsia="仿宋_GB2312" w:cs="仿宋_GB2312"/>
                          <w:sz w:val="28"/>
                          <w:szCs w:val="28"/>
                        </w:rPr>
                        <w:drawing>
                          <wp:inline distT="0" distB="0" distL="0" distR="0">
                            <wp:extent cx="1105535" cy="1285240"/>
                            <wp:effectExtent l="0" t="0" r="18415" b="10160"/>
                            <wp:docPr id="9" name="图片 1"/>
                            <wp:cNvGraphicFramePr/>
                            <a:graphic xmlns:a="http://schemas.openxmlformats.org/drawingml/2006/main">
                              <a:graphicData uri="http://schemas.openxmlformats.org/drawingml/2006/picture">
                                <pic:pic xmlns:pic="http://schemas.openxmlformats.org/drawingml/2006/picture">
                                  <pic:nvPicPr>
                                    <pic:cNvPr id="9" name="图片 1"/>
                                    <pic:cNvPicPr/>
                                  </pic:nvPicPr>
                                  <pic:blipFill>
                                    <a:blip r:embed="rId9" cstate="print"/>
                                    <a:srcRect/>
                                    <a:stretch>
                                      <a:fillRect/>
                                    </a:stretch>
                                  </pic:blipFill>
                                  <pic:spPr>
                                    <a:xfrm>
                                      <a:off x="0" y="0"/>
                                      <a:ext cx="1105535" cy="1285240"/>
                                    </a:xfrm>
                                    <a:prstGeom prst="rect">
                                      <a:avLst/>
                                    </a:prstGeom>
                                    <a:ln>
                                      <a:noFill/>
                                    </a:ln>
                                  </pic:spPr>
                                </pic:pic>
                              </a:graphicData>
                            </a:graphic>
                          </wp:inline>
                        </w:drawing>
                      </w:r>
                    </w:p>
                  </w:txbxContent>
                </v:textbox>
                <w10:wrap type="square"/>
              </v:shape>
            </w:pict>
          </mc:Fallback>
        </mc:AlternateContent>
      </w:r>
      <w:r>
        <w:rPr>
          <w:rFonts w:hint="eastAsia" w:ascii="仿宋_GB2312" w:hAnsi="仿宋_GB2312" w:eastAsia="仿宋_GB2312" w:cs="仿宋_GB2312"/>
          <w:b/>
          <w:bCs/>
          <w:color w:val="333333"/>
          <w:kern w:val="0"/>
          <w:sz w:val="28"/>
          <w:szCs w:val="28"/>
          <w:shd w:val="clear" w:color="auto" w:fill="FFFFFF"/>
        </w:rPr>
        <w:t>李永彬  四级专家  医疗组长</w:t>
      </w:r>
    </w:p>
    <w:p>
      <w:pPr>
        <w:keepNext w:val="0"/>
        <w:keepLines w:val="0"/>
        <w:pageBreakBefore w:val="0"/>
        <w:kinsoku/>
        <w:overflowPunct/>
        <w:topLinePunct w:val="0"/>
        <w:autoSpaceDE/>
        <w:autoSpaceDN/>
        <w:bidi w:val="0"/>
        <w:adjustRightInd/>
        <w:spacing w:line="360" w:lineRule="auto"/>
        <w:ind w:left="0" w:leftChars="0" w:firstLine="562"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b/>
          <w:bCs/>
          <w:kern w:val="0"/>
          <w:sz w:val="28"/>
          <w:szCs w:val="28"/>
        </w:rPr>
        <w:t>亚专业：</w:t>
      </w:r>
      <w:r>
        <w:rPr>
          <w:rFonts w:hint="eastAsia" w:ascii="仿宋_GB2312" w:hAnsi="仿宋_GB2312" w:eastAsia="仿宋_GB2312" w:cs="仿宋_GB2312"/>
          <w:color w:val="333333"/>
          <w:kern w:val="0"/>
          <w:sz w:val="28"/>
          <w:szCs w:val="28"/>
          <w:shd w:val="clear" w:color="auto" w:fill="FFFFFF"/>
        </w:rPr>
        <w:t>肝胆胰微创外科</w:t>
      </w:r>
    </w:p>
    <w:p>
      <w:pPr>
        <w:keepNext w:val="0"/>
        <w:keepLines w:val="0"/>
        <w:pageBreakBefore w:val="0"/>
        <w:kinsoku/>
        <w:overflowPunct/>
        <w:topLinePunct w:val="0"/>
        <w:autoSpaceDE/>
        <w:autoSpaceDN/>
        <w:bidi w:val="0"/>
        <w:adjustRightInd/>
        <w:spacing w:line="360" w:lineRule="auto"/>
        <w:ind w:left="0" w:leftChars="0" w:firstLine="562" w:firstLineChars="20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个人简介：</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副主任医师，医学博士。任中国医师协会外科医师分会胆道外科医师委员会青年委员，中国抗癌协会康复学会肝胆胰分会委员，四川省医师协会胰腺病分会常务委员，成都市医信会肝胆胰分会，副主任委员，完成了我国首例腹腔镜下保留胰头及幽门的全十二指肠切除术。</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参编专著：《腹腔镜胰腺外科手术学》，2017年，人民卫生出版社，编者；《腹腔镜脾脏外科手术学》，2019年，人民卫生出版社，副主编；《Minimally Invasive Pancreatic Surgery》,2019年，AME出版社，编者；《Laparoscopic Surgery of the Spleen》,2021年，Springer出版社，副主编；《数字化胰腺外科学》,2023年，人民卫生出版社，编者；获四川省科技进步奖三等奖 一项</w:t>
      </w:r>
    </w:p>
    <w:p>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专业擅长：</w:t>
      </w:r>
    </w:p>
    <w:p>
      <w:pPr>
        <w:pStyle w:val="11"/>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r>
        <w:rPr>
          <w:rFonts w:hint="eastAsia" w:ascii="仿宋_GB2312" w:hAnsi="仿宋_GB2312" w:eastAsia="仿宋_GB2312" w:cs="仿宋_GB2312"/>
          <w:color w:val="333333"/>
          <w:kern w:val="0"/>
          <w:sz w:val="28"/>
          <w:szCs w:val="28"/>
          <w:shd w:val="clear" w:color="auto" w:fill="FFFFFF"/>
        </w:rPr>
        <w:t>擅长肝脏，胆道，胰腺，脾脏外科疾病的微创手术，主要侧重于脾脏和胰腺、十二指肠疾病的腹腔镜手术。</w:t>
      </w:r>
    </w:p>
    <w:p>
      <w:pPr>
        <w:pStyle w:val="11"/>
        <w:keepNext w:val="0"/>
        <w:keepLines w:val="0"/>
        <w:pageBreakBefore w:val="0"/>
        <w:kinsoku/>
        <w:overflowPunct/>
        <w:topLinePunct w:val="0"/>
        <w:autoSpaceDE/>
        <w:autoSpaceDN/>
        <w:bidi w:val="0"/>
        <w:adjustRightInd/>
        <w:spacing w:line="360" w:lineRule="auto"/>
        <w:ind w:left="0" w:leftChars="0" w:firstLine="0" w:firstLineChars="0"/>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二、进修简介</w:t>
      </w:r>
    </w:p>
    <w:p>
      <w:pPr>
        <w:keepNext w:val="0"/>
        <w:keepLines w:val="0"/>
        <w:pageBreakBefore w:val="0"/>
        <w:widowControl/>
        <w:kinsoku/>
        <w:overflowPunct/>
        <w:topLinePunct w:val="0"/>
        <w:autoSpaceDE/>
        <w:autoSpaceDN/>
        <w:bidi w:val="0"/>
        <w:adjustRightInd/>
        <w:spacing w:line="360" w:lineRule="auto"/>
        <w:jc w:val="lef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lang w:eastAsia="zh-CN"/>
        </w:rPr>
        <w:t>（</w:t>
      </w:r>
      <w:r>
        <w:rPr>
          <w:rFonts w:hint="eastAsia" w:ascii="仿宋_GB2312" w:hAnsi="仿宋_GB2312" w:eastAsia="仿宋_GB2312" w:cs="仿宋_GB2312"/>
          <w:b/>
          <w:kern w:val="0"/>
          <w:sz w:val="28"/>
          <w:szCs w:val="28"/>
          <w:lang w:val="en-US" w:eastAsia="zh-CN"/>
        </w:rPr>
        <w:t>一</w:t>
      </w:r>
      <w:r>
        <w:rPr>
          <w:rFonts w:hint="eastAsia" w:ascii="仿宋_GB2312" w:hAnsi="仿宋_GB2312" w:eastAsia="仿宋_GB2312" w:cs="仿宋_GB2312"/>
          <w:b/>
          <w:kern w:val="0"/>
          <w:sz w:val="28"/>
          <w:szCs w:val="28"/>
          <w:lang w:eastAsia="zh-CN"/>
        </w:rPr>
        <w:t>）</w:t>
      </w:r>
      <w:r>
        <w:rPr>
          <w:rFonts w:hint="eastAsia" w:ascii="仿宋_GB2312" w:hAnsi="仿宋_GB2312" w:eastAsia="仿宋_GB2312" w:cs="仿宋_GB2312"/>
          <w:b/>
          <w:kern w:val="0"/>
          <w:sz w:val="28"/>
          <w:szCs w:val="28"/>
        </w:rPr>
        <w:t>进修方向</w:t>
      </w:r>
    </w:p>
    <w:p>
      <w:pPr>
        <w:keepNext w:val="0"/>
        <w:keepLines w:val="0"/>
        <w:pageBreakBefore w:val="0"/>
        <w:widowControl/>
        <w:kinsoku/>
        <w:overflowPunct/>
        <w:topLinePunct w:val="0"/>
        <w:autoSpaceDE/>
        <w:autoSpaceDN/>
        <w:bidi w:val="0"/>
        <w:adjustRightInd/>
        <w:spacing w:line="360" w:lineRule="auto"/>
        <w:ind w:left="0" w:leftChars="0"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科对进修医生进行胰、十二指肠、胆囊、脾关疾病诊治、普外临床操作技术、临床科研能力的培养，使其理论水平和临床实践能力得到明显提高，达到培养一批业务素质好、专业技术水平高，并具有高度责任心的专科医生的目的。</w:t>
      </w:r>
    </w:p>
    <w:p>
      <w:pPr>
        <w:keepNext w:val="0"/>
        <w:keepLines w:val="0"/>
        <w:pageBreakBefore w:val="0"/>
        <w:widowControl/>
        <w:kinsoku/>
        <w:overflowPunct/>
        <w:topLinePunct w:val="0"/>
        <w:autoSpaceDE/>
        <w:autoSpaceDN/>
        <w:bidi w:val="0"/>
        <w:adjustRightInd/>
        <w:spacing w:line="360" w:lineRule="auto"/>
        <w:jc w:val="lef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lang w:eastAsia="zh-CN"/>
        </w:rPr>
        <w:t>（</w:t>
      </w:r>
      <w:r>
        <w:rPr>
          <w:rFonts w:hint="eastAsia" w:ascii="仿宋_GB2312" w:hAnsi="仿宋_GB2312" w:eastAsia="仿宋_GB2312" w:cs="仿宋_GB2312"/>
          <w:b/>
          <w:kern w:val="0"/>
          <w:sz w:val="28"/>
          <w:szCs w:val="28"/>
          <w:lang w:val="en-US" w:eastAsia="zh-CN"/>
        </w:rPr>
        <w:t>二</w:t>
      </w:r>
      <w:r>
        <w:rPr>
          <w:rFonts w:hint="eastAsia" w:ascii="仿宋_GB2312" w:hAnsi="仿宋_GB2312" w:eastAsia="仿宋_GB2312" w:cs="仿宋_GB2312"/>
          <w:b/>
          <w:kern w:val="0"/>
          <w:sz w:val="28"/>
          <w:szCs w:val="28"/>
          <w:lang w:eastAsia="zh-CN"/>
        </w:rPr>
        <w:t>）</w:t>
      </w:r>
      <w:r>
        <w:rPr>
          <w:rFonts w:hint="eastAsia" w:ascii="仿宋_GB2312" w:hAnsi="仿宋_GB2312" w:eastAsia="仿宋_GB2312" w:cs="仿宋_GB2312"/>
          <w:b/>
          <w:kern w:val="0"/>
          <w:sz w:val="28"/>
          <w:szCs w:val="28"/>
        </w:rPr>
        <w:t>招生对象、进修时间与安排</w:t>
      </w:r>
    </w:p>
    <w:p>
      <w:pPr>
        <w:keepNext w:val="0"/>
        <w:keepLines w:val="0"/>
        <w:pageBreakBefore w:val="0"/>
        <w:widowControl/>
        <w:shd w:val="clear" w:color="auto" w:fill="FFFFFF"/>
        <w:kinsoku/>
        <w:wordWrap w:val="0"/>
        <w:overflowPunct/>
        <w:topLinePunct w:val="0"/>
        <w:autoSpaceDE/>
        <w:autoSpaceDN/>
        <w:bidi w:val="0"/>
        <w:adjustRightInd/>
        <w:spacing w:line="360" w:lineRule="auto"/>
        <w:ind w:left="0" w:leftChars="0" w:firstLine="560"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招生对象为从事普外科临床工作一年以上的医生，每次招收人数限10人，要求具有医师资格证书和执业证书。每年录取进修生两次，即春、秋季招生，进修期限为一年或半年。招生时间一般定在入学的前两月，即春季（3月初）入学者，1月份录取；秋季（9月初）入学者，7月录取。</w:t>
      </w:r>
    </w:p>
    <w:p>
      <w:pPr>
        <w:keepNext w:val="0"/>
        <w:keepLines w:val="0"/>
        <w:pageBreakBefore w:val="0"/>
        <w:widowControl/>
        <w:numPr>
          <w:ilvl w:val="0"/>
          <w:numId w:val="0"/>
        </w:numPr>
        <w:shd w:val="clear" w:color="auto" w:fill="FFFFFF"/>
        <w:kinsoku/>
        <w:wordWrap w:val="0"/>
        <w:overflowPunct/>
        <w:topLinePunct w:val="0"/>
        <w:autoSpaceDE/>
        <w:autoSpaceDN/>
        <w:bidi w:val="0"/>
        <w:adjustRightInd/>
        <w:spacing w:line="360" w:lineRule="auto"/>
        <w:jc w:val="left"/>
        <w:textAlignment w:val="auto"/>
        <w:rPr>
          <w:rFonts w:hint="eastAsia" w:ascii="仿宋_GB2312" w:hAnsi="仿宋_GB2312" w:eastAsia="仿宋_GB2312" w:cs="仿宋_GB2312"/>
          <w:b/>
          <w:kern w:val="0"/>
          <w:sz w:val="28"/>
          <w:szCs w:val="28"/>
        </w:rPr>
      </w:pPr>
      <w:bookmarkStart w:id="0" w:name="_GoBack"/>
      <w:bookmarkEnd w:id="0"/>
      <w:r>
        <w:rPr>
          <w:rFonts w:hint="eastAsia" w:ascii="仿宋_GB2312" w:hAnsi="仿宋_GB2312" w:eastAsia="仿宋_GB2312" w:cs="仿宋_GB2312"/>
          <w:b/>
          <w:kern w:val="0"/>
          <w:sz w:val="28"/>
          <w:szCs w:val="28"/>
          <w:lang w:eastAsia="zh-CN"/>
        </w:rPr>
        <w:t>（</w:t>
      </w:r>
      <w:r>
        <w:rPr>
          <w:rFonts w:hint="eastAsia" w:ascii="仿宋_GB2312" w:hAnsi="仿宋_GB2312" w:eastAsia="仿宋_GB2312" w:cs="仿宋_GB2312"/>
          <w:b/>
          <w:kern w:val="0"/>
          <w:sz w:val="28"/>
          <w:szCs w:val="28"/>
          <w:lang w:val="en-US" w:eastAsia="zh-CN"/>
        </w:rPr>
        <w:t>三</w:t>
      </w:r>
      <w:r>
        <w:rPr>
          <w:rFonts w:hint="eastAsia" w:ascii="仿宋_GB2312" w:hAnsi="仿宋_GB2312" w:eastAsia="仿宋_GB2312" w:cs="仿宋_GB2312"/>
          <w:b/>
          <w:kern w:val="0"/>
          <w:sz w:val="28"/>
          <w:szCs w:val="28"/>
          <w:lang w:eastAsia="zh-CN"/>
        </w:rPr>
        <w:t>）</w:t>
      </w:r>
      <w:r>
        <w:rPr>
          <w:rFonts w:hint="eastAsia" w:ascii="仿宋_GB2312" w:hAnsi="仿宋_GB2312" w:eastAsia="仿宋_GB2312" w:cs="仿宋_GB2312"/>
          <w:b/>
          <w:kern w:val="0"/>
          <w:sz w:val="28"/>
          <w:szCs w:val="28"/>
        </w:rPr>
        <w:t>培训内容与形式</w:t>
      </w:r>
    </w:p>
    <w:p>
      <w:pPr>
        <w:keepNext w:val="0"/>
        <w:keepLines w:val="0"/>
        <w:pageBreakBefore w:val="0"/>
        <w:widowControl/>
        <w:numPr>
          <w:ilvl w:val="0"/>
          <w:numId w:val="0"/>
        </w:numPr>
        <w:shd w:val="clear" w:color="auto" w:fill="FFFFFF"/>
        <w:kinsoku/>
        <w:wordWrap w:val="0"/>
        <w:overflowPunct/>
        <w:topLinePunct w:val="0"/>
        <w:autoSpaceDE/>
        <w:autoSpaceDN/>
        <w:bidi w:val="0"/>
        <w:adjustRightInd/>
        <w:spacing w:line="360" w:lineRule="auto"/>
        <w:ind w:left="0" w:leftChars="0" w:firstLine="560" w:firstLineChars="200"/>
        <w:jc w:val="left"/>
        <w:textAlignment w:val="auto"/>
        <w:rPr>
          <w:rFonts w:hint="eastAsia" w:ascii="仿宋_GB2312" w:hAnsi="仿宋_GB2312" w:eastAsia="仿宋_GB2312" w:cs="仿宋_GB2312"/>
          <w:b/>
          <w:bCs/>
          <w:kern w:val="0"/>
          <w:sz w:val="28"/>
          <w:szCs w:val="28"/>
        </w:rPr>
      </w:pPr>
      <w:r>
        <w:rPr>
          <w:rFonts w:hint="eastAsia" w:ascii="仿宋_GB2312" w:hAnsi="仿宋_GB2312" w:eastAsia="仿宋_GB2312" w:cs="仿宋_GB2312"/>
          <w:kern w:val="0"/>
          <w:sz w:val="28"/>
          <w:szCs w:val="28"/>
        </w:rPr>
        <w:t>主要包括胰、十二指肠、胆囊、脾外科疾病的基础理论、基本知识和基本技能，普外相关临床操作技术，以及临床科研相关知识如文献检索、科研课题的设计与标书的书写、医学研究论文的撰写与投稿等。另外，不定期进行胰腺外科医学新进展讲座，以促进专科医护人员紧跟本专业学科发展的方向，掌握本学科的新知识、新技术和新进展，了解本学科和其他交叉学科的研究与发展趋势。将采取专题讲座、临床操作训练、临床查房与教学查房、病例讨论和临床进修等形</w:t>
      </w:r>
      <w:r>
        <w:rPr>
          <w:rFonts w:hint="eastAsia" w:ascii="仿宋_GB2312" w:hAnsi="仿宋_GB2312" w:eastAsia="仿宋_GB2312" w:cs="仿宋_GB2312"/>
          <w:bCs/>
          <w:kern w:val="0"/>
          <w:sz w:val="28"/>
          <w:szCs w:val="28"/>
        </w:rPr>
        <w:t>式进行培训。</w:t>
      </w:r>
    </w:p>
    <w:p>
      <w:pPr>
        <w:keepNext w:val="0"/>
        <w:keepLines w:val="0"/>
        <w:pageBreakBefore w:val="0"/>
        <w:kinsoku/>
        <w:overflowPunct/>
        <w:topLinePunct w:val="0"/>
        <w:autoSpaceDE/>
        <w:autoSpaceDN/>
        <w:bidi w:val="0"/>
        <w:adjustRightInd/>
        <w:spacing w:line="360" w:lineRule="auto"/>
        <w:ind w:left="0" w:leftChars="0" w:firstLine="560" w:firstLineChars="200"/>
        <w:textAlignment w:val="auto"/>
        <w:rPr>
          <w:rFonts w:hint="eastAsia" w:ascii="仿宋_GB2312" w:hAnsi="仿宋_GB2312" w:eastAsia="仿宋_GB2312" w:cs="仿宋_GB2312"/>
          <w:color w:val="333333"/>
          <w:kern w:val="0"/>
          <w:sz w:val="28"/>
          <w:szCs w:val="28"/>
          <w:shd w:val="clear" w:color="auto" w:fill="FFFFFF"/>
        </w:rPr>
      </w:pPr>
    </w:p>
    <w:p>
      <w:pPr>
        <w:pStyle w:val="2"/>
        <w:rPr>
          <w:rFonts w:hint="eastAsia"/>
        </w:rPr>
      </w:pPr>
    </w:p>
    <w:p>
      <w:pPr>
        <w:keepNext w:val="0"/>
        <w:keepLines w:val="0"/>
        <w:pageBreakBefore w:val="0"/>
        <w:kinsoku/>
        <w:overflowPunct/>
        <w:topLinePunct w:val="0"/>
        <w:autoSpaceDE/>
        <w:autoSpaceDN/>
        <w:bidi w:val="0"/>
        <w:adjustRightInd/>
        <w:spacing w:line="360" w:lineRule="auto"/>
        <w:jc w:val="center"/>
        <w:textAlignment w:val="auto"/>
        <w:rPr>
          <w:rFonts w:hint="eastAsia" w:ascii="仿宋_GB2312" w:hAnsi="仿宋_GB2312" w:eastAsia="仿宋_GB2312" w:cs="仿宋_GB2312"/>
          <w:color w:val="333333"/>
          <w:kern w:val="0"/>
          <w:sz w:val="28"/>
          <w:szCs w:val="28"/>
          <w:shd w:val="clear" w:color="auto" w:fill="FFFFFF"/>
          <w:lang w:val="en-US" w:eastAsia="zh-CN"/>
        </w:rPr>
      </w:pPr>
      <w:r>
        <w:rPr>
          <w:rFonts w:hint="eastAsia" w:ascii="仿宋_GB2312" w:hAnsi="仿宋_GB2312" w:eastAsia="仿宋_GB2312" w:cs="仿宋_GB2312"/>
          <w:color w:val="333333"/>
          <w:kern w:val="0"/>
          <w:sz w:val="28"/>
          <w:szCs w:val="28"/>
          <w:shd w:val="clear" w:color="auto" w:fill="FFFFFF"/>
          <w:lang w:val="en-US" w:eastAsia="zh-CN"/>
        </w:rPr>
        <w:t xml:space="preserve">                                                    普外一病房</w:t>
      </w:r>
    </w:p>
    <w:p>
      <w:pPr>
        <w:pStyle w:val="2"/>
        <w:jc w:val="right"/>
        <w:rPr>
          <w:rFonts w:hint="default"/>
          <w:lang w:val="en-US" w:eastAsia="zh-CN"/>
        </w:rPr>
      </w:pPr>
      <w:r>
        <w:rPr>
          <w:rFonts w:hint="eastAsia" w:ascii="仿宋_GB2312" w:hAnsi="仿宋_GB2312" w:eastAsia="仿宋_GB2312" w:cs="仿宋_GB2312"/>
          <w:color w:val="333333"/>
          <w:kern w:val="0"/>
          <w:sz w:val="28"/>
          <w:szCs w:val="28"/>
          <w:shd w:val="clear" w:color="auto" w:fill="FFFFFF"/>
          <w:lang w:val="en-US" w:eastAsia="zh-CN"/>
        </w:rPr>
        <w:t>2026年7月14日</w:t>
      </w:r>
    </w:p>
    <w:sectPr>
      <w:footerReference r:id="rId3" w:type="default"/>
      <w:pgSz w:w="11906" w:h="16838"/>
      <w:pgMar w:top="1440" w:right="1080" w:bottom="1440" w:left="108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ufGT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612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qFormat/>
    <w:uiPriority w:val="1"/>
  </w:style>
  <w:style w:type="table" w:default="1" w:styleId="8">
    <w:name w:val="Normal Table"/>
    <w:qFormat/>
    <w:uiPriority w:val="99"/>
    <w:tblPr>
      <w:tblLayout w:type="fixed"/>
      <w:tblCellMar>
        <w:top w:w="0" w:type="dxa"/>
        <w:left w:w="108" w:type="dxa"/>
        <w:bottom w:w="0" w:type="dxa"/>
        <w:right w:w="108" w:type="dxa"/>
      </w:tblCellMar>
    </w:tblPr>
  </w:style>
  <w:style w:type="paragraph" w:customStyle="1" w:styleId="2">
    <w:name w:val="Body Text 21"/>
    <w:basedOn w:val="1"/>
    <w:qFormat/>
    <w:uiPriority w:val="0"/>
    <w:pPr>
      <w:snapToGrid w:val="0"/>
      <w:spacing w:line="540" w:lineRule="exact"/>
    </w:pPr>
    <w:rPr>
      <w:rFonts w:eastAsia="方正仿宋_GBK"/>
      <w:color w:val="000000"/>
    </w:rPr>
  </w:style>
  <w:style w:type="paragraph" w:styleId="3">
    <w:name w:val="Balloon Text"/>
    <w:basedOn w:val="1"/>
    <w:link w:val="12"/>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rFonts w:ascii="Calibri" w:hAnsi="Calibri" w:eastAsia="宋体" w:cs="Calibri"/>
      <w:kern w:val="0"/>
      <w:sz w:val="24"/>
      <w:szCs w:val="24"/>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qFormat/>
    <w:uiPriority w:val="99"/>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4406</Words>
  <Characters>4803</Characters>
  <Paragraphs>74</Paragraphs>
  <TotalTime>3</TotalTime>
  <ScaleCrop>false</ScaleCrop>
  <LinksUpToDate>false</LinksUpToDate>
  <CharactersWithSpaces>4907</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2023-01-11T01:57:00Z</dcterms:created>
  <dc:creator>asus</dc:creator>
  <cp:lastModifiedBy>zhang</cp:lastModifiedBy>
  <cp:lastPrinted>2025-06-30T05:40:00Z</cp:lastPrinted>
  <dcterms:modified xsi:type="dcterms:W3CDTF">2026-07-14T02:03:35Z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1a8012fdf1644550b9e81c57525490bb_23</vt:lpwstr>
  </property>
  <property fmtid="{D5CDD505-2E9C-101B-9397-08002B2CF9AE}" pid="4" name="KSOTemplateDocerSaveRecord">
    <vt:lpwstr>eyJoZGlkIjoiMjk2YTFhMGQ0NDExYjZmNjk4MGQ1YzA1YWI2MjZmNTUiLCJ1c2VySWQiOiI3NDc5NDA0ODAifQ==</vt:lpwstr>
  </property>
</Properties>
</file>