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5279" w14:textId="77777777" w:rsidR="00C1297A" w:rsidRPr="004D6004" w:rsidRDefault="00C1297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4D6004">
        <w:rPr>
          <w:rFonts w:ascii="Times New Roman" w:eastAsia="黑体" w:hAnsi="Times New Roman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D6004">
        <w:rPr>
          <w:rFonts w:ascii="Times New Roman" w:eastAsia="黑体" w:hAnsi="Times New Roman" w:cs="Times New Roman"/>
          <w:sz w:val="32"/>
          <w:szCs w:val="32"/>
        </w:rPr>
        <w:instrText>ADDIN CNKISM.UserStyle</w:instrText>
      </w:r>
      <w:r w:rsidRPr="004D6004">
        <w:rPr>
          <w:rFonts w:ascii="Times New Roman" w:eastAsia="黑体" w:hAnsi="Times New Roman" w:cs="Times New Roman"/>
          <w:sz w:val="32"/>
          <w:szCs w:val="32"/>
        </w:rPr>
      </w:r>
      <w:r w:rsidRPr="004D6004">
        <w:rPr>
          <w:rFonts w:ascii="Times New Roman" w:eastAsia="黑体" w:hAnsi="Times New Roman" w:cs="Times New Roman"/>
          <w:sz w:val="32"/>
          <w:szCs w:val="32"/>
        </w:rPr>
        <w:fldChar w:fldCharType="end"/>
      </w:r>
      <w:r w:rsidRPr="004D6004">
        <w:rPr>
          <w:rFonts w:ascii="Times New Roman" w:eastAsia="黑体" w:hAnsi="Times New Roman" w:cs="Times New Roman"/>
          <w:sz w:val="32"/>
          <w:szCs w:val="32"/>
        </w:rPr>
        <w:t>附件</w:t>
      </w:r>
      <w:r w:rsidRPr="004D6004">
        <w:rPr>
          <w:rFonts w:ascii="Times New Roman" w:eastAsia="黑体" w:hAnsi="Times New Roman" w:cs="Times New Roman"/>
          <w:sz w:val="32"/>
          <w:szCs w:val="32"/>
        </w:rPr>
        <w:t>1</w:t>
      </w:r>
    </w:p>
    <w:p w14:paraId="2290CE0B" w14:textId="77777777" w:rsidR="00757F64" w:rsidRPr="004D6004" w:rsidRDefault="00C1297A" w:rsidP="00C1297A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D6004">
        <w:rPr>
          <w:rFonts w:ascii="Times New Roman" w:eastAsia="方正小标宋简体" w:hAnsi="Times New Roman" w:cs="Times New Roman"/>
          <w:sz w:val="44"/>
          <w:szCs w:val="44"/>
        </w:rPr>
        <w:t>新药申报材料目录</w:t>
      </w:r>
    </w:p>
    <w:p w14:paraId="283D3D8F" w14:textId="666C958D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《</w:t>
      </w:r>
      <w:r w:rsidR="00C062E0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Pr="004D6004"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报信息表》（附件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2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506F6E51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《新药申报承诺书》（附件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3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5DE7EB52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药品生产企业营业执照、药品生产许可证、药品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GMP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证书（复印件，须清晰并盖生产企业鲜章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,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全进口药品提供全国总代理相关资质，如药品经营许可证、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GSP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证书）。</w:t>
      </w:r>
    </w:p>
    <w:p w14:paraId="253B9716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药品注册批件（复印件，须清晰并盖生产企业鲜章，进口药品加盖全国总代理商鲜章。药品注册证过期须提供有效期内的药品再注册批件，有变更事宜需提交药品补充申请批件）。</w:t>
      </w:r>
    </w:p>
    <w:p w14:paraId="7A1FE8DA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5.“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四川药械采购监管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平台（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http://scyz.sc.gov.cn/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）挂网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页面打印件。</w:t>
      </w:r>
    </w:p>
    <w:p w14:paraId="3534E670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6.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社保品种提供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日起执行的《国家基本医疗保险、工伤保险和生育保险药品目录》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文件中申报品种所在页复印件和药品本位码（以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869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开头）。</w:t>
      </w:r>
    </w:p>
    <w:p w14:paraId="49791840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7.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有效药品价格资料（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四川药械采购监管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4D600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平台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挂网价等）。</w:t>
      </w:r>
    </w:p>
    <w:p w14:paraId="45A4269E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8.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国家</w:t>
      </w:r>
      <w:bookmarkStart w:id="0" w:name="_Hlk485910359"/>
      <w:r w:rsidRPr="004D6004">
        <w:rPr>
          <w:rFonts w:ascii="Times New Roman" w:eastAsia="仿宋_GB2312" w:hAnsi="Times New Roman" w:cs="Times New Roman"/>
          <w:sz w:val="32"/>
          <w:szCs w:val="32"/>
        </w:rPr>
        <w:t>药品质量标准文件（药典或局颁标准）。</w:t>
      </w:r>
    </w:p>
    <w:p w14:paraId="456A4D4C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9.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省（市）级或入关口岸药检所药品质量检验报告书。</w:t>
      </w:r>
      <w:bookmarkEnd w:id="0"/>
    </w:p>
    <w:p w14:paraId="1A24248B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经国家食品药品监督管理局（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SFDA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）批准的法定药品说明书等。</w:t>
      </w:r>
    </w:p>
    <w:p w14:paraId="779AAA5B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药品廉洁准入承诺书（一式三份，附件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4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0386584D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药品质量保证承诺书（一式三份，附件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5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53F64389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产品介绍资料，同类产品有效性、安全性、经济性等对比评价资料。</w:t>
      </w:r>
    </w:p>
    <w:p w14:paraId="2989B623" w14:textId="77777777" w:rsidR="00757F64" w:rsidRPr="004D6004" w:rsidRDefault="00C1297A" w:rsidP="00C1297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D6004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厂家委托申明（附件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6</w:t>
      </w:r>
      <w:r w:rsidRPr="004D6004">
        <w:rPr>
          <w:rFonts w:ascii="Times New Roman" w:eastAsia="仿宋_GB2312" w:hAnsi="Times New Roman" w:cs="Times New Roman"/>
          <w:sz w:val="32"/>
          <w:szCs w:val="32"/>
        </w:rPr>
        <w:t>）。</w:t>
      </w:r>
    </w:p>
    <w:sectPr w:rsidR="00757F64" w:rsidRPr="004D6004" w:rsidSect="00C1297A">
      <w:pgSz w:w="11906" w:h="16838"/>
      <w:pgMar w:top="1758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0EE"/>
    <w:multiLevelType w:val="multilevel"/>
    <w:tmpl w:val="289F10EE"/>
    <w:lvl w:ilvl="0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 w16cid:durableId="214534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YWIyNGY5Y2EzNDllY2Y1ZmZmMzcwYTk2M2M5ZDAifQ=="/>
  </w:docVars>
  <w:rsids>
    <w:rsidRoot w:val="00A12F34"/>
    <w:rsid w:val="000C30F6"/>
    <w:rsid w:val="00183D95"/>
    <w:rsid w:val="001E6CDF"/>
    <w:rsid w:val="0039092D"/>
    <w:rsid w:val="00452A5F"/>
    <w:rsid w:val="004D6004"/>
    <w:rsid w:val="006D1216"/>
    <w:rsid w:val="007224E2"/>
    <w:rsid w:val="00757F64"/>
    <w:rsid w:val="00785A1A"/>
    <w:rsid w:val="008641C3"/>
    <w:rsid w:val="009C007B"/>
    <w:rsid w:val="009F6E20"/>
    <w:rsid w:val="00A12F34"/>
    <w:rsid w:val="00C062E0"/>
    <w:rsid w:val="00C1297A"/>
    <w:rsid w:val="00D36799"/>
    <w:rsid w:val="00D912E9"/>
    <w:rsid w:val="00DD2EAF"/>
    <w:rsid w:val="00E7266C"/>
    <w:rsid w:val="00ED3260"/>
    <w:rsid w:val="00F2474F"/>
    <w:rsid w:val="330C5CDF"/>
    <w:rsid w:val="4DEB18CB"/>
    <w:rsid w:val="7B8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04F8"/>
  <w15:docId w15:val="{F63828EE-B891-4129-BAC9-744269C9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peng yang</cp:lastModifiedBy>
  <cp:revision>5</cp:revision>
  <cp:lastPrinted>2020-01-03T02:27:00Z</cp:lastPrinted>
  <dcterms:created xsi:type="dcterms:W3CDTF">2022-06-16T08:34:00Z</dcterms:created>
  <dcterms:modified xsi:type="dcterms:W3CDTF">2022-12-08T01:38:00Z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B7721DB2AC1347B4A51B5C4363A130B8</vt:lpwstr>
  </property>
</Properties>
</file>